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1D" w:rsidRPr="006F2395" w:rsidRDefault="001F1E08" w:rsidP="00DF2CD2">
      <w:pPr>
        <w:spacing w:line="276" w:lineRule="auto"/>
        <w:ind w:firstLine="0"/>
        <w:jc w:val="center"/>
        <w:rPr>
          <w:rFonts w:cs="Times New Roman"/>
        </w:rPr>
      </w:pPr>
      <w:r w:rsidRPr="006F2395">
        <w:rPr>
          <w:rFonts w:cs="Times New Roman"/>
          <w:b/>
        </w:rPr>
        <w:t>Summary of 2017</w:t>
      </w:r>
      <w:r w:rsidR="009359A4" w:rsidRPr="006F2395">
        <w:rPr>
          <w:rFonts w:cs="Times New Roman"/>
          <w:b/>
        </w:rPr>
        <w:t xml:space="preserve"> Annual Case Filings Report with Comparisons</w:t>
      </w:r>
    </w:p>
    <w:p w:rsidR="00213526" w:rsidRPr="006F2395" w:rsidRDefault="00213526" w:rsidP="00186A74">
      <w:pPr>
        <w:pStyle w:val="Heading1"/>
        <w:rPr>
          <w:szCs w:val="24"/>
        </w:rPr>
      </w:pPr>
      <w:r w:rsidRPr="006F2395">
        <w:rPr>
          <w:szCs w:val="24"/>
        </w:rPr>
        <w:t>Filings</w:t>
      </w:r>
    </w:p>
    <w:p w:rsidR="00213526" w:rsidRPr="006F2395" w:rsidRDefault="000C5AA1" w:rsidP="00DF2CD2">
      <w:pPr>
        <w:pStyle w:val="Heading2"/>
        <w:spacing w:line="276" w:lineRule="auto"/>
        <w:ind w:firstLine="0"/>
        <w:rPr>
          <w:rFonts w:cs="Times New Roman"/>
          <w:szCs w:val="24"/>
        </w:rPr>
      </w:pPr>
      <w:r w:rsidRPr="006F2395">
        <w:rPr>
          <w:rFonts w:cs="Times New Roman"/>
          <w:szCs w:val="24"/>
        </w:rPr>
        <w:t>National</w:t>
      </w:r>
    </w:p>
    <w:p w:rsidR="00DF2CD2" w:rsidRPr="006F2395" w:rsidRDefault="00DF2CD2" w:rsidP="00DF2CD2">
      <w:pPr>
        <w:spacing w:line="276" w:lineRule="auto"/>
        <w:rPr>
          <w:rFonts w:cs="Times New Roman"/>
        </w:rPr>
      </w:pPr>
    </w:p>
    <w:p w:rsidR="00DF2CD2" w:rsidRDefault="00213526" w:rsidP="003357A9">
      <w:pPr>
        <w:spacing w:line="276" w:lineRule="auto"/>
        <w:rPr>
          <w:rFonts w:cs="Times New Roman"/>
        </w:rPr>
      </w:pPr>
      <w:r w:rsidRPr="006F2395">
        <w:rPr>
          <w:rFonts w:cs="Times New Roman"/>
        </w:rPr>
        <w:t>Nationwide, in 2017,</w:t>
      </w:r>
      <w:r w:rsidR="00FE27BA">
        <w:rPr>
          <w:rStyle w:val="FootnoteReference"/>
          <w:rFonts w:cs="Times New Roman"/>
        </w:rPr>
        <w:footnoteReference w:id="1"/>
      </w:r>
      <w:r w:rsidRPr="006F2395">
        <w:rPr>
          <w:rFonts w:cs="Times New Roman"/>
        </w:rPr>
        <w:t xml:space="preserve"> </w:t>
      </w:r>
      <w:r w:rsidR="009359A4" w:rsidRPr="006F2395">
        <w:rPr>
          <w:rFonts w:cs="Times New Roman"/>
        </w:rPr>
        <w:t xml:space="preserve">there were </w:t>
      </w:r>
      <w:r w:rsidR="003357A9">
        <w:rPr>
          <w:rFonts w:cs="Times New Roman"/>
        </w:rPr>
        <w:t>765,863</w:t>
      </w:r>
      <w:r w:rsidR="009359A4" w:rsidRPr="006F2395">
        <w:rPr>
          <w:rFonts w:cs="Times New Roman"/>
        </w:rPr>
        <w:t xml:space="preserve"> bankruptcy petitions filed by individuals with pre</w:t>
      </w:r>
      <w:r w:rsidR="003357A9">
        <w:rPr>
          <w:rFonts w:cs="Times New Roman"/>
        </w:rPr>
        <w:t xml:space="preserve">dominantly consumer debt, down </w:t>
      </w:r>
      <w:r w:rsidR="005F26BE">
        <w:rPr>
          <w:rFonts w:cs="Times New Roman"/>
        </w:rPr>
        <w:t>0</w:t>
      </w:r>
      <w:r w:rsidR="003357A9">
        <w:rPr>
          <w:rFonts w:cs="Times New Roman"/>
        </w:rPr>
        <w:t>.65</w:t>
      </w:r>
      <w:r w:rsidR="009359A4" w:rsidRPr="006F2395">
        <w:rPr>
          <w:rFonts w:cs="Times New Roman"/>
        </w:rPr>
        <w:t xml:space="preserve">% from 2016. </w:t>
      </w:r>
      <w:r w:rsidR="003357A9">
        <w:rPr>
          <w:rFonts w:cs="Times New Roman"/>
        </w:rPr>
        <w:t>Of the consumer filings in 2017, 472,190 (</w:t>
      </w:r>
      <w:r w:rsidR="009359A4" w:rsidRPr="006F2395">
        <w:rPr>
          <w:rFonts w:cs="Times New Roman"/>
        </w:rPr>
        <w:t>61</w:t>
      </w:r>
      <w:r w:rsidR="003357A9">
        <w:rPr>
          <w:rFonts w:cs="Times New Roman"/>
        </w:rPr>
        <w:t>.65</w:t>
      </w:r>
      <w:r w:rsidR="009359A4" w:rsidRPr="006F2395">
        <w:rPr>
          <w:rFonts w:cs="Times New Roman"/>
        </w:rPr>
        <w:t>%</w:t>
      </w:r>
      <w:r w:rsidR="003357A9">
        <w:rPr>
          <w:rFonts w:cs="Times New Roman"/>
        </w:rPr>
        <w:t>)</w:t>
      </w:r>
      <w:r w:rsidR="009359A4" w:rsidRPr="006F2395">
        <w:rPr>
          <w:rFonts w:cs="Times New Roman"/>
        </w:rPr>
        <w:t xml:space="preserve"> of the petit</w:t>
      </w:r>
      <w:r w:rsidR="003357A9">
        <w:rPr>
          <w:rFonts w:cs="Times New Roman"/>
        </w:rPr>
        <w:t>ions were filed under chapter 7; 1</w:t>
      </w:r>
      <w:r w:rsidR="00E665F4">
        <w:rPr>
          <w:rFonts w:cs="Times New Roman"/>
        </w:rPr>
        <w:t>,</w:t>
      </w:r>
      <w:r w:rsidR="003357A9">
        <w:rPr>
          <w:rFonts w:cs="Times New Roman"/>
        </w:rPr>
        <w:t>092 (0.14%) were filed under chapter 11; and 292,581 (</w:t>
      </w:r>
      <w:r w:rsidR="009359A4" w:rsidRPr="006F2395">
        <w:rPr>
          <w:rFonts w:cs="Times New Roman"/>
        </w:rPr>
        <w:t>38</w:t>
      </w:r>
      <w:r w:rsidR="003357A9">
        <w:rPr>
          <w:rFonts w:cs="Times New Roman"/>
        </w:rPr>
        <w:t>.20</w:t>
      </w:r>
      <w:r w:rsidR="009359A4" w:rsidRPr="006F2395">
        <w:rPr>
          <w:rFonts w:cs="Times New Roman"/>
        </w:rPr>
        <w:t>%</w:t>
      </w:r>
      <w:r w:rsidR="003357A9">
        <w:rPr>
          <w:rFonts w:cs="Times New Roman"/>
        </w:rPr>
        <w:t>)</w:t>
      </w:r>
      <w:r w:rsidR="009359A4" w:rsidRPr="006F2395">
        <w:rPr>
          <w:rFonts w:cs="Times New Roman"/>
        </w:rPr>
        <w:t xml:space="preserve"> were filed under chapter 13. </w:t>
      </w:r>
    </w:p>
    <w:p w:rsidR="003357A9" w:rsidRPr="006F2395" w:rsidRDefault="003357A9" w:rsidP="003357A9">
      <w:pPr>
        <w:spacing w:line="276" w:lineRule="auto"/>
        <w:rPr>
          <w:rFonts w:cs="Times New Roman"/>
        </w:rPr>
      </w:pPr>
    </w:p>
    <w:p w:rsidR="00213526" w:rsidRPr="006F2395" w:rsidRDefault="000C5AA1" w:rsidP="00DF2CD2">
      <w:pPr>
        <w:pStyle w:val="Heading2"/>
        <w:spacing w:line="276" w:lineRule="auto"/>
        <w:ind w:firstLine="0"/>
        <w:rPr>
          <w:rFonts w:cs="Times New Roman"/>
          <w:szCs w:val="24"/>
        </w:rPr>
      </w:pPr>
      <w:r w:rsidRPr="006F2395">
        <w:rPr>
          <w:rFonts w:cs="Times New Roman"/>
          <w:szCs w:val="24"/>
        </w:rPr>
        <w:t>South Carolina</w:t>
      </w:r>
    </w:p>
    <w:p w:rsidR="00DF2CD2" w:rsidRPr="006F2395" w:rsidRDefault="00DF2CD2" w:rsidP="00DF2CD2">
      <w:pPr>
        <w:spacing w:line="276" w:lineRule="auto"/>
        <w:rPr>
          <w:rFonts w:cs="Times New Roman"/>
        </w:rPr>
      </w:pPr>
    </w:p>
    <w:p w:rsidR="009359A4" w:rsidRPr="006F2395" w:rsidRDefault="00213526" w:rsidP="00DF2CD2">
      <w:pPr>
        <w:spacing w:line="276" w:lineRule="auto"/>
        <w:rPr>
          <w:rFonts w:cs="Times New Roman"/>
          <w:i/>
        </w:rPr>
      </w:pPr>
      <w:r w:rsidRPr="006F2395">
        <w:rPr>
          <w:rFonts w:cs="Times New Roman"/>
        </w:rPr>
        <w:t xml:space="preserve">In </w:t>
      </w:r>
      <w:r w:rsidR="00871A1D">
        <w:rPr>
          <w:rFonts w:cs="Times New Roman"/>
        </w:rPr>
        <w:t>South Carolina, there were 6,410</w:t>
      </w:r>
      <w:r w:rsidRPr="006F2395">
        <w:rPr>
          <w:rFonts w:cs="Times New Roman"/>
        </w:rPr>
        <w:t xml:space="preserve"> consumer filings in 2017, which i</w:t>
      </w:r>
      <w:r w:rsidR="003357A9">
        <w:rPr>
          <w:rFonts w:cs="Times New Roman"/>
        </w:rPr>
        <w:t xml:space="preserve">s a 0.70% decrease </w:t>
      </w:r>
      <w:r w:rsidR="00E665F4">
        <w:rPr>
          <w:rFonts w:cs="Times New Roman"/>
        </w:rPr>
        <w:t>from</w:t>
      </w:r>
      <w:r w:rsidR="003357A9">
        <w:rPr>
          <w:rFonts w:cs="Times New Roman"/>
        </w:rPr>
        <w:t xml:space="preserve"> the 6,455</w:t>
      </w:r>
      <w:r w:rsidRPr="006F2395">
        <w:rPr>
          <w:rFonts w:cs="Times New Roman"/>
        </w:rPr>
        <w:t xml:space="preserve"> consumer filings in 2016. Of the</w:t>
      </w:r>
      <w:r w:rsidR="003357A9">
        <w:rPr>
          <w:rFonts w:cs="Times New Roman"/>
        </w:rPr>
        <w:t xml:space="preserve"> consumer filings in 2017, 2,480</w:t>
      </w:r>
      <w:r w:rsidRPr="006F2395">
        <w:rPr>
          <w:rFonts w:cs="Times New Roman"/>
        </w:rPr>
        <w:t xml:space="preserve"> (3</w:t>
      </w:r>
      <w:r w:rsidR="003357A9">
        <w:rPr>
          <w:rFonts w:cs="Times New Roman"/>
        </w:rPr>
        <w:t>8</w:t>
      </w:r>
      <w:r w:rsidR="003C1A45">
        <w:rPr>
          <w:rFonts w:cs="Times New Roman"/>
        </w:rPr>
        <w:t>.</w:t>
      </w:r>
      <w:r w:rsidR="003357A9">
        <w:rPr>
          <w:rFonts w:cs="Times New Roman"/>
        </w:rPr>
        <w:t>69</w:t>
      </w:r>
      <w:r w:rsidRPr="006F2395">
        <w:rPr>
          <w:rFonts w:cs="Times New Roman"/>
        </w:rPr>
        <w:t>%) were filed</w:t>
      </w:r>
      <w:r w:rsidR="003C1A45">
        <w:rPr>
          <w:rFonts w:cs="Times New Roman"/>
        </w:rPr>
        <w:t xml:space="preserve"> under chapter 7; </w:t>
      </w:r>
      <w:r w:rsidR="003357A9">
        <w:rPr>
          <w:rFonts w:cs="Times New Roman"/>
        </w:rPr>
        <w:t>7</w:t>
      </w:r>
      <w:r w:rsidR="003C1A45">
        <w:rPr>
          <w:rFonts w:cs="Times New Roman"/>
        </w:rPr>
        <w:t xml:space="preserve"> (</w:t>
      </w:r>
      <w:r w:rsidR="005F26BE">
        <w:rPr>
          <w:rFonts w:cs="Times New Roman"/>
        </w:rPr>
        <w:t>0.1</w:t>
      </w:r>
      <w:r w:rsidR="003357A9">
        <w:rPr>
          <w:rFonts w:cs="Times New Roman"/>
        </w:rPr>
        <w:t>1</w:t>
      </w:r>
      <w:r w:rsidRPr="006F2395">
        <w:rPr>
          <w:rFonts w:cs="Times New Roman"/>
        </w:rPr>
        <w:t>%) were f</w:t>
      </w:r>
      <w:r w:rsidR="003357A9">
        <w:rPr>
          <w:rFonts w:cs="Times New Roman"/>
        </w:rPr>
        <w:t>iled under chapter 11; and 3,923</w:t>
      </w:r>
      <w:r w:rsidRPr="006F2395">
        <w:rPr>
          <w:rFonts w:cs="Times New Roman"/>
        </w:rPr>
        <w:t xml:space="preserve"> (6</w:t>
      </w:r>
      <w:r w:rsidR="003357A9">
        <w:rPr>
          <w:rFonts w:cs="Times New Roman"/>
        </w:rPr>
        <w:t>1</w:t>
      </w:r>
      <w:r w:rsidRPr="006F2395">
        <w:rPr>
          <w:rFonts w:cs="Times New Roman"/>
        </w:rPr>
        <w:t>.</w:t>
      </w:r>
      <w:r w:rsidR="003C1A45">
        <w:rPr>
          <w:rFonts w:cs="Times New Roman"/>
        </w:rPr>
        <w:t>2</w:t>
      </w:r>
      <w:r w:rsidR="003357A9">
        <w:rPr>
          <w:rFonts w:cs="Times New Roman"/>
        </w:rPr>
        <w:t>0</w:t>
      </w:r>
      <w:r w:rsidRPr="006F2395">
        <w:rPr>
          <w:rFonts w:cs="Times New Roman"/>
        </w:rPr>
        <w:t xml:space="preserve">%) were filed under chapter 13. </w:t>
      </w:r>
      <w:r w:rsidR="00707212" w:rsidRPr="006F2395">
        <w:rPr>
          <w:rFonts w:cs="Times New Roman"/>
          <w:i/>
        </w:rPr>
        <w:t>See table below.</w:t>
      </w:r>
    </w:p>
    <w:p w:rsidR="00592FB8" w:rsidRPr="006F2395" w:rsidRDefault="00592FB8" w:rsidP="00DF2CD2">
      <w:pPr>
        <w:spacing w:line="276" w:lineRule="auto"/>
        <w:rPr>
          <w:rFonts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763"/>
        <w:gridCol w:w="1250"/>
        <w:gridCol w:w="1370"/>
        <w:gridCol w:w="1370"/>
      </w:tblGrid>
      <w:tr w:rsidR="00707212" w:rsidRPr="006F2395" w:rsidTr="006F2395">
        <w:trPr>
          <w:trHeight w:val="432"/>
          <w:jc w:val="center"/>
        </w:trPr>
        <w:tc>
          <w:tcPr>
            <w:tcW w:w="0" w:type="auto"/>
            <w:gridSpan w:val="5"/>
            <w:noWrap/>
            <w:hideMark/>
          </w:tcPr>
          <w:p w:rsidR="00707212" w:rsidRPr="006F2395" w:rsidRDefault="00707212" w:rsidP="00592FB8">
            <w:pPr>
              <w:ind w:firstLine="0"/>
              <w:jc w:val="center"/>
              <w:rPr>
                <w:rFonts w:eastAsiaTheme="majorEastAsia" w:cs="Times New Roman"/>
                <w:b/>
                <w:bCs/>
              </w:rPr>
            </w:pPr>
            <w:r w:rsidRPr="006F2395">
              <w:rPr>
                <w:rFonts w:eastAsiaTheme="majorEastAsia" w:cs="Times New Roman"/>
                <w:b/>
                <w:bCs/>
              </w:rPr>
              <w:t>Filings in South Carolina</w:t>
            </w:r>
          </w:p>
        </w:tc>
      </w:tr>
      <w:tr w:rsidR="00707212" w:rsidRPr="006F2395" w:rsidTr="006F2395">
        <w:trPr>
          <w:trHeight w:val="432"/>
          <w:jc w:val="center"/>
        </w:trPr>
        <w:tc>
          <w:tcPr>
            <w:tcW w:w="0" w:type="auto"/>
            <w:noWrap/>
            <w:hideMark/>
          </w:tcPr>
          <w:p w:rsidR="00707212" w:rsidRPr="006F2395" w:rsidRDefault="00707212" w:rsidP="00592FB8">
            <w:pPr>
              <w:ind w:firstLine="0"/>
              <w:rPr>
                <w:rFonts w:eastAsiaTheme="majorEastAsia" w:cs="Times New Roman"/>
                <w:b/>
                <w:bCs/>
              </w:rPr>
            </w:pPr>
            <w:r w:rsidRPr="006F2395">
              <w:rPr>
                <w:rFonts w:eastAsiaTheme="majorEastAsia" w:cs="Times New Roman"/>
                <w:b/>
                <w:bCs/>
              </w:rPr>
              <w:t> </w:t>
            </w:r>
          </w:p>
        </w:tc>
        <w:tc>
          <w:tcPr>
            <w:tcW w:w="0" w:type="auto"/>
            <w:noWrap/>
            <w:hideMark/>
          </w:tcPr>
          <w:p w:rsidR="00707212" w:rsidRPr="006F2395" w:rsidRDefault="00707212" w:rsidP="00592FB8">
            <w:pPr>
              <w:ind w:firstLine="0"/>
              <w:rPr>
                <w:rFonts w:eastAsiaTheme="majorEastAsia" w:cs="Times New Roman"/>
                <w:b/>
                <w:bCs/>
              </w:rPr>
            </w:pPr>
            <w:r w:rsidRPr="006F2395">
              <w:rPr>
                <w:rFonts w:eastAsiaTheme="majorEastAsia" w:cs="Times New Roman"/>
                <w:b/>
                <w:bCs/>
              </w:rPr>
              <w:t>Total</w:t>
            </w:r>
          </w:p>
        </w:tc>
        <w:tc>
          <w:tcPr>
            <w:tcW w:w="0" w:type="auto"/>
            <w:noWrap/>
            <w:hideMark/>
          </w:tcPr>
          <w:p w:rsidR="00707212" w:rsidRPr="006F2395" w:rsidRDefault="00707212" w:rsidP="00592FB8">
            <w:pPr>
              <w:ind w:firstLine="0"/>
              <w:rPr>
                <w:rFonts w:eastAsiaTheme="majorEastAsia" w:cs="Times New Roman"/>
                <w:b/>
                <w:bCs/>
              </w:rPr>
            </w:pPr>
            <w:r w:rsidRPr="006F2395">
              <w:rPr>
                <w:rFonts w:eastAsiaTheme="majorEastAsia" w:cs="Times New Roman"/>
                <w:b/>
                <w:bCs/>
              </w:rPr>
              <w:t>Chapter 7</w:t>
            </w:r>
          </w:p>
        </w:tc>
        <w:tc>
          <w:tcPr>
            <w:tcW w:w="0" w:type="auto"/>
            <w:noWrap/>
            <w:hideMark/>
          </w:tcPr>
          <w:p w:rsidR="00707212" w:rsidRPr="006F2395" w:rsidRDefault="00707212" w:rsidP="00592FB8">
            <w:pPr>
              <w:ind w:firstLine="0"/>
              <w:rPr>
                <w:rFonts w:eastAsiaTheme="majorEastAsia" w:cs="Times New Roman"/>
                <w:b/>
                <w:bCs/>
              </w:rPr>
            </w:pPr>
            <w:r w:rsidRPr="006F2395">
              <w:rPr>
                <w:rFonts w:eastAsiaTheme="majorEastAsia" w:cs="Times New Roman"/>
                <w:b/>
                <w:bCs/>
              </w:rPr>
              <w:t>Chapter 11</w:t>
            </w:r>
          </w:p>
        </w:tc>
        <w:tc>
          <w:tcPr>
            <w:tcW w:w="0" w:type="auto"/>
            <w:noWrap/>
            <w:hideMark/>
          </w:tcPr>
          <w:p w:rsidR="00707212" w:rsidRPr="006F2395" w:rsidRDefault="00707212" w:rsidP="00592FB8">
            <w:pPr>
              <w:ind w:firstLine="0"/>
              <w:rPr>
                <w:rFonts w:eastAsiaTheme="majorEastAsia" w:cs="Times New Roman"/>
                <w:b/>
                <w:bCs/>
              </w:rPr>
            </w:pPr>
            <w:r w:rsidRPr="006F2395">
              <w:rPr>
                <w:rFonts w:eastAsiaTheme="majorEastAsia" w:cs="Times New Roman"/>
                <w:b/>
                <w:bCs/>
              </w:rPr>
              <w:t>Chapter 13</w:t>
            </w:r>
          </w:p>
        </w:tc>
      </w:tr>
      <w:tr w:rsidR="00707212" w:rsidRPr="006F2395" w:rsidTr="006F2395">
        <w:trPr>
          <w:trHeight w:val="432"/>
          <w:jc w:val="center"/>
        </w:trPr>
        <w:tc>
          <w:tcPr>
            <w:tcW w:w="0" w:type="auto"/>
            <w:noWrap/>
            <w:hideMark/>
          </w:tcPr>
          <w:p w:rsidR="00707212" w:rsidRPr="006F2395" w:rsidRDefault="00707212" w:rsidP="00592FB8">
            <w:pPr>
              <w:ind w:firstLine="0"/>
              <w:rPr>
                <w:rFonts w:eastAsiaTheme="majorEastAsia" w:cs="Times New Roman"/>
                <w:b/>
                <w:bCs/>
              </w:rPr>
            </w:pPr>
            <w:r w:rsidRPr="006F2395">
              <w:rPr>
                <w:rFonts w:eastAsiaTheme="majorEastAsia" w:cs="Times New Roman"/>
                <w:b/>
                <w:bCs/>
              </w:rPr>
              <w:t>2016</w:t>
            </w:r>
          </w:p>
        </w:tc>
        <w:tc>
          <w:tcPr>
            <w:tcW w:w="0" w:type="auto"/>
            <w:noWrap/>
            <w:hideMark/>
          </w:tcPr>
          <w:p w:rsidR="00707212" w:rsidRPr="006F2395" w:rsidRDefault="003357A9" w:rsidP="00592FB8">
            <w:pPr>
              <w:ind w:firstLine="0"/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/>
              </w:rPr>
              <w:t>6,455</w:t>
            </w:r>
          </w:p>
        </w:tc>
        <w:tc>
          <w:tcPr>
            <w:tcW w:w="0" w:type="auto"/>
            <w:noWrap/>
            <w:hideMark/>
          </w:tcPr>
          <w:p w:rsidR="00707212" w:rsidRPr="006F2395" w:rsidRDefault="003357A9" w:rsidP="00592FB8">
            <w:pPr>
              <w:ind w:firstLine="0"/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/>
              </w:rPr>
              <w:t>2,542</w:t>
            </w:r>
          </w:p>
        </w:tc>
        <w:tc>
          <w:tcPr>
            <w:tcW w:w="0" w:type="auto"/>
            <w:noWrap/>
            <w:hideMark/>
          </w:tcPr>
          <w:p w:rsidR="00707212" w:rsidRPr="006F2395" w:rsidRDefault="003357A9" w:rsidP="00592FB8">
            <w:pPr>
              <w:ind w:firstLine="0"/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/>
              </w:rPr>
              <w:t>5</w:t>
            </w:r>
          </w:p>
        </w:tc>
        <w:tc>
          <w:tcPr>
            <w:tcW w:w="0" w:type="auto"/>
            <w:noWrap/>
            <w:hideMark/>
          </w:tcPr>
          <w:p w:rsidR="00707212" w:rsidRPr="006F2395" w:rsidRDefault="003357A9" w:rsidP="00592FB8">
            <w:pPr>
              <w:ind w:firstLine="0"/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/>
              </w:rPr>
              <w:t>3,908</w:t>
            </w:r>
          </w:p>
        </w:tc>
      </w:tr>
      <w:tr w:rsidR="00707212" w:rsidRPr="006F2395" w:rsidTr="006F2395">
        <w:trPr>
          <w:trHeight w:val="432"/>
          <w:jc w:val="center"/>
        </w:trPr>
        <w:tc>
          <w:tcPr>
            <w:tcW w:w="0" w:type="auto"/>
            <w:noWrap/>
            <w:hideMark/>
          </w:tcPr>
          <w:p w:rsidR="00707212" w:rsidRPr="006F2395" w:rsidRDefault="00707212" w:rsidP="00592FB8">
            <w:pPr>
              <w:ind w:firstLine="0"/>
              <w:rPr>
                <w:rFonts w:eastAsiaTheme="majorEastAsia" w:cs="Times New Roman"/>
                <w:b/>
                <w:bCs/>
              </w:rPr>
            </w:pPr>
            <w:r w:rsidRPr="006F2395">
              <w:rPr>
                <w:rFonts w:eastAsiaTheme="majorEastAsia" w:cs="Times New Roman"/>
                <w:b/>
                <w:bCs/>
              </w:rPr>
              <w:t>2017</w:t>
            </w:r>
          </w:p>
        </w:tc>
        <w:tc>
          <w:tcPr>
            <w:tcW w:w="0" w:type="auto"/>
            <w:noWrap/>
            <w:hideMark/>
          </w:tcPr>
          <w:p w:rsidR="00707212" w:rsidRPr="006F2395" w:rsidRDefault="003357A9" w:rsidP="00592FB8">
            <w:pPr>
              <w:ind w:firstLine="0"/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/>
              </w:rPr>
              <w:t>6,410</w:t>
            </w:r>
          </w:p>
        </w:tc>
        <w:tc>
          <w:tcPr>
            <w:tcW w:w="0" w:type="auto"/>
            <w:noWrap/>
            <w:hideMark/>
          </w:tcPr>
          <w:p w:rsidR="00707212" w:rsidRPr="006F2395" w:rsidRDefault="003357A9" w:rsidP="00592FB8">
            <w:pPr>
              <w:ind w:firstLine="0"/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/>
              </w:rPr>
              <w:t>2,480</w:t>
            </w:r>
          </w:p>
        </w:tc>
        <w:tc>
          <w:tcPr>
            <w:tcW w:w="0" w:type="auto"/>
            <w:noWrap/>
            <w:hideMark/>
          </w:tcPr>
          <w:p w:rsidR="00707212" w:rsidRPr="006F2395" w:rsidRDefault="003357A9" w:rsidP="00592FB8">
            <w:pPr>
              <w:ind w:firstLine="0"/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/>
              </w:rPr>
              <w:t>7</w:t>
            </w:r>
          </w:p>
        </w:tc>
        <w:tc>
          <w:tcPr>
            <w:tcW w:w="0" w:type="auto"/>
            <w:noWrap/>
            <w:hideMark/>
          </w:tcPr>
          <w:p w:rsidR="00707212" w:rsidRPr="006F2395" w:rsidRDefault="003357A9" w:rsidP="00592FB8">
            <w:pPr>
              <w:ind w:firstLine="0"/>
              <w:jc w:val="center"/>
              <w:rPr>
                <w:rFonts w:eastAsiaTheme="majorEastAsia" w:cs="Times New Roman"/>
              </w:rPr>
            </w:pPr>
            <w:r>
              <w:rPr>
                <w:rFonts w:eastAsiaTheme="majorEastAsia" w:cs="Times New Roman"/>
              </w:rPr>
              <w:t>3,923</w:t>
            </w:r>
          </w:p>
        </w:tc>
      </w:tr>
    </w:tbl>
    <w:p w:rsidR="006F2395" w:rsidRDefault="006F2395" w:rsidP="00DF2CD2">
      <w:pPr>
        <w:pStyle w:val="Heading2"/>
        <w:spacing w:line="276" w:lineRule="auto"/>
        <w:ind w:firstLine="0"/>
        <w:rPr>
          <w:rFonts w:cs="Times New Roman"/>
          <w:szCs w:val="24"/>
        </w:rPr>
      </w:pPr>
    </w:p>
    <w:p w:rsidR="00213526" w:rsidRPr="006F2395" w:rsidRDefault="000C5AA1" w:rsidP="00DF2CD2">
      <w:pPr>
        <w:pStyle w:val="Heading2"/>
        <w:spacing w:line="276" w:lineRule="auto"/>
        <w:ind w:firstLine="0"/>
        <w:rPr>
          <w:rFonts w:cs="Times New Roman"/>
          <w:szCs w:val="24"/>
        </w:rPr>
      </w:pPr>
      <w:r w:rsidRPr="006F2395">
        <w:rPr>
          <w:rFonts w:cs="Times New Roman"/>
          <w:szCs w:val="24"/>
        </w:rPr>
        <w:t>Fourth Circuit</w:t>
      </w:r>
    </w:p>
    <w:p w:rsidR="00DF2CD2" w:rsidRPr="006F2395" w:rsidRDefault="00213526" w:rsidP="00DF2CD2">
      <w:pPr>
        <w:spacing w:line="276" w:lineRule="auto"/>
        <w:ind w:firstLine="0"/>
        <w:rPr>
          <w:rFonts w:cs="Times New Roman"/>
        </w:rPr>
      </w:pPr>
      <w:r w:rsidRPr="006F2395">
        <w:rPr>
          <w:rFonts w:cs="Times New Roman"/>
        </w:rPr>
        <w:tab/>
      </w:r>
    </w:p>
    <w:p w:rsidR="00707212" w:rsidRPr="006F2395" w:rsidRDefault="00213526" w:rsidP="00707212">
      <w:pPr>
        <w:spacing w:line="276" w:lineRule="auto"/>
        <w:rPr>
          <w:rFonts w:cs="Times New Roman"/>
          <w:i/>
        </w:rPr>
      </w:pPr>
      <w:r w:rsidRPr="006F2395">
        <w:rPr>
          <w:rFonts w:cs="Times New Roman"/>
        </w:rPr>
        <w:t>In the F</w:t>
      </w:r>
      <w:r w:rsidR="003357A9">
        <w:rPr>
          <w:rFonts w:cs="Times New Roman"/>
        </w:rPr>
        <w:t>ourth Circuit, there were 63,372</w:t>
      </w:r>
      <w:r w:rsidRPr="006F2395">
        <w:rPr>
          <w:rFonts w:cs="Times New Roman"/>
        </w:rPr>
        <w:t xml:space="preserve"> consumer </w:t>
      </w:r>
      <w:r w:rsidR="003357A9">
        <w:rPr>
          <w:rFonts w:cs="Times New Roman"/>
        </w:rPr>
        <w:t>filings in 2017, which is a 0.07</w:t>
      </w:r>
      <w:r w:rsidRPr="006F2395">
        <w:rPr>
          <w:rFonts w:cs="Times New Roman"/>
        </w:rPr>
        <w:t xml:space="preserve">% </w:t>
      </w:r>
      <w:r w:rsidR="003357A9">
        <w:rPr>
          <w:rFonts w:cs="Times New Roman"/>
        </w:rPr>
        <w:t>increase over the 63,326</w:t>
      </w:r>
      <w:r w:rsidRPr="006F2395">
        <w:rPr>
          <w:rFonts w:cs="Times New Roman"/>
        </w:rPr>
        <w:t xml:space="preserve"> consumer filings in 2016. Of the </w:t>
      </w:r>
      <w:r w:rsidR="00431E15">
        <w:rPr>
          <w:rFonts w:cs="Times New Roman"/>
        </w:rPr>
        <w:t>consumer filings in 2017, 35,</w:t>
      </w:r>
      <w:r w:rsidR="003357A9">
        <w:rPr>
          <w:rFonts w:cs="Times New Roman"/>
        </w:rPr>
        <w:t>737</w:t>
      </w:r>
      <w:r w:rsidR="00431E15">
        <w:rPr>
          <w:rFonts w:cs="Times New Roman"/>
        </w:rPr>
        <w:t xml:space="preserve"> (56</w:t>
      </w:r>
      <w:r w:rsidRPr="006F2395">
        <w:rPr>
          <w:rFonts w:cs="Times New Roman"/>
        </w:rPr>
        <w:t>.</w:t>
      </w:r>
      <w:r w:rsidR="003357A9">
        <w:rPr>
          <w:rFonts w:cs="Times New Roman"/>
        </w:rPr>
        <w:t>39</w:t>
      </w:r>
      <w:r w:rsidRPr="006F2395">
        <w:rPr>
          <w:rFonts w:cs="Times New Roman"/>
        </w:rPr>
        <w:t>%)</w:t>
      </w:r>
      <w:r w:rsidR="003357A9">
        <w:rPr>
          <w:rFonts w:cs="Times New Roman"/>
        </w:rPr>
        <w:t xml:space="preserve"> were filed under chapter 7; 79</w:t>
      </w:r>
      <w:r w:rsidR="00431E15">
        <w:rPr>
          <w:rFonts w:cs="Times New Roman"/>
        </w:rPr>
        <w:t xml:space="preserve"> (</w:t>
      </w:r>
      <w:r w:rsidR="005F26BE">
        <w:rPr>
          <w:rFonts w:cs="Times New Roman"/>
        </w:rPr>
        <w:t>0</w:t>
      </w:r>
      <w:r w:rsidR="00431E15">
        <w:rPr>
          <w:rFonts w:cs="Times New Roman"/>
        </w:rPr>
        <w:t>.13</w:t>
      </w:r>
      <w:r w:rsidRPr="006F2395">
        <w:rPr>
          <w:rFonts w:cs="Times New Roman"/>
        </w:rPr>
        <w:t xml:space="preserve">%) were filed under </w:t>
      </w:r>
      <w:r w:rsidR="00431E15">
        <w:rPr>
          <w:rFonts w:cs="Times New Roman"/>
        </w:rPr>
        <w:t>chapter</w:t>
      </w:r>
      <w:r w:rsidR="003357A9">
        <w:rPr>
          <w:rFonts w:cs="Times New Roman"/>
        </w:rPr>
        <w:t xml:space="preserve"> 11; and 27,556 (43.48</w:t>
      </w:r>
      <w:r w:rsidRPr="006F2395">
        <w:rPr>
          <w:rFonts w:cs="Times New Roman"/>
        </w:rPr>
        <w:t>%) were filed under chapter 13.</w:t>
      </w:r>
      <w:r w:rsidR="00707212" w:rsidRPr="006F2395">
        <w:rPr>
          <w:rFonts w:cs="Times New Roman"/>
        </w:rPr>
        <w:t xml:space="preserve"> </w:t>
      </w:r>
      <w:r w:rsidR="00707212" w:rsidRPr="006F2395">
        <w:rPr>
          <w:rFonts w:cs="Times New Roman"/>
          <w:i/>
        </w:rPr>
        <w:t>See table below.</w:t>
      </w:r>
    </w:p>
    <w:p w:rsidR="00592FB8" w:rsidRPr="006F2395" w:rsidRDefault="00592FB8" w:rsidP="00592FB8">
      <w:pPr>
        <w:spacing w:line="276" w:lineRule="auto"/>
        <w:ind w:firstLine="0"/>
        <w:rPr>
          <w:rFonts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876"/>
        <w:gridCol w:w="1250"/>
        <w:gridCol w:w="1370"/>
        <w:gridCol w:w="1370"/>
      </w:tblGrid>
      <w:tr w:rsidR="00707212" w:rsidRPr="006F2395" w:rsidTr="006F2395">
        <w:trPr>
          <w:trHeight w:val="576"/>
          <w:jc w:val="center"/>
        </w:trPr>
        <w:tc>
          <w:tcPr>
            <w:tcW w:w="0" w:type="auto"/>
            <w:gridSpan w:val="5"/>
            <w:noWrap/>
            <w:hideMark/>
          </w:tcPr>
          <w:p w:rsidR="00707212" w:rsidRPr="006F2395" w:rsidRDefault="00707212" w:rsidP="003E40E9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Filings in the Fourth Circuit</w:t>
            </w:r>
          </w:p>
        </w:tc>
      </w:tr>
      <w:tr w:rsidR="00707212" w:rsidRPr="006F2395" w:rsidTr="006F2395">
        <w:trPr>
          <w:trHeight w:val="576"/>
          <w:jc w:val="center"/>
        </w:trPr>
        <w:tc>
          <w:tcPr>
            <w:tcW w:w="0" w:type="auto"/>
            <w:noWrap/>
            <w:hideMark/>
          </w:tcPr>
          <w:p w:rsidR="00707212" w:rsidRPr="006F2395" w:rsidRDefault="00707212" w:rsidP="003E40E9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0" w:type="auto"/>
            <w:noWrap/>
            <w:hideMark/>
          </w:tcPr>
          <w:p w:rsidR="00707212" w:rsidRPr="006F2395" w:rsidRDefault="00707212" w:rsidP="003E40E9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Total</w:t>
            </w:r>
          </w:p>
        </w:tc>
        <w:tc>
          <w:tcPr>
            <w:tcW w:w="0" w:type="auto"/>
            <w:noWrap/>
            <w:hideMark/>
          </w:tcPr>
          <w:p w:rsidR="00707212" w:rsidRPr="006F2395" w:rsidRDefault="00707212" w:rsidP="003E40E9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Chapter 7</w:t>
            </w:r>
          </w:p>
        </w:tc>
        <w:tc>
          <w:tcPr>
            <w:tcW w:w="0" w:type="auto"/>
            <w:noWrap/>
            <w:hideMark/>
          </w:tcPr>
          <w:p w:rsidR="00707212" w:rsidRPr="006F2395" w:rsidRDefault="00707212" w:rsidP="003E40E9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Chapter 11</w:t>
            </w:r>
          </w:p>
        </w:tc>
        <w:tc>
          <w:tcPr>
            <w:tcW w:w="0" w:type="auto"/>
            <w:noWrap/>
            <w:hideMark/>
          </w:tcPr>
          <w:p w:rsidR="00707212" w:rsidRPr="006F2395" w:rsidRDefault="00707212" w:rsidP="003E40E9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Chapter 13</w:t>
            </w:r>
          </w:p>
        </w:tc>
      </w:tr>
      <w:tr w:rsidR="00707212" w:rsidRPr="006F2395" w:rsidTr="006F2395">
        <w:trPr>
          <w:trHeight w:val="576"/>
          <w:jc w:val="center"/>
        </w:trPr>
        <w:tc>
          <w:tcPr>
            <w:tcW w:w="0" w:type="auto"/>
            <w:noWrap/>
            <w:hideMark/>
          </w:tcPr>
          <w:p w:rsidR="00707212" w:rsidRPr="006F2395" w:rsidRDefault="00707212" w:rsidP="003E40E9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2016</w:t>
            </w:r>
          </w:p>
        </w:tc>
        <w:tc>
          <w:tcPr>
            <w:tcW w:w="0" w:type="auto"/>
            <w:noWrap/>
            <w:hideMark/>
          </w:tcPr>
          <w:p w:rsidR="00707212" w:rsidRPr="006F2395" w:rsidRDefault="003357A9" w:rsidP="003E40E9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63,326</w:t>
            </w:r>
          </w:p>
        </w:tc>
        <w:tc>
          <w:tcPr>
            <w:tcW w:w="0" w:type="auto"/>
            <w:noWrap/>
            <w:hideMark/>
          </w:tcPr>
          <w:p w:rsidR="00707212" w:rsidRPr="006F2395" w:rsidRDefault="003357A9" w:rsidP="003E40E9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35,255</w:t>
            </w:r>
          </w:p>
        </w:tc>
        <w:tc>
          <w:tcPr>
            <w:tcW w:w="0" w:type="auto"/>
            <w:noWrap/>
            <w:hideMark/>
          </w:tcPr>
          <w:p w:rsidR="00707212" w:rsidRPr="006F2395" w:rsidRDefault="003357A9" w:rsidP="003E40E9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83</w:t>
            </w:r>
          </w:p>
        </w:tc>
        <w:tc>
          <w:tcPr>
            <w:tcW w:w="0" w:type="auto"/>
            <w:noWrap/>
            <w:hideMark/>
          </w:tcPr>
          <w:p w:rsidR="00707212" w:rsidRPr="006F2395" w:rsidRDefault="003357A9" w:rsidP="003E40E9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27,988</w:t>
            </w:r>
          </w:p>
        </w:tc>
      </w:tr>
      <w:tr w:rsidR="00707212" w:rsidRPr="006F2395" w:rsidTr="006F2395">
        <w:trPr>
          <w:trHeight w:val="576"/>
          <w:jc w:val="center"/>
        </w:trPr>
        <w:tc>
          <w:tcPr>
            <w:tcW w:w="0" w:type="auto"/>
            <w:noWrap/>
            <w:hideMark/>
          </w:tcPr>
          <w:p w:rsidR="00707212" w:rsidRPr="006F2395" w:rsidRDefault="00707212" w:rsidP="003E40E9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2017</w:t>
            </w:r>
          </w:p>
        </w:tc>
        <w:tc>
          <w:tcPr>
            <w:tcW w:w="0" w:type="auto"/>
            <w:noWrap/>
            <w:hideMark/>
          </w:tcPr>
          <w:p w:rsidR="00707212" w:rsidRPr="006F2395" w:rsidRDefault="003357A9" w:rsidP="003E40E9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63,372</w:t>
            </w:r>
          </w:p>
        </w:tc>
        <w:tc>
          <w:tcPr>
            <w:tcW w:w="0" w:type="auto"/>
            <w:noWrap/>
            <w:hideMark/>
          </w:tcPr>
          <w:p w:rsidR="00707212" w:rsidRPr="006F2395" w:rsidRDefault="003357A9" w:rsidP="003E40E9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35,737</w:t>
            </w:r>
          </w:p>
        </w:tc>
        <w:tc>
          <w:tcPr>
            <w:tcW w:w="0" w:type="auto"/>
            <w:noWrap/>
            <w:hideMark/>
          </w:tcPr>
          <w:p w:rsidR="00707212" w:rsidRPr="006F2395" w:rsidRDefault="003357A9" w:rsidP="003E40E9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79</w:t>
            </w:r>
          </w:p>
        </w:tc>
        <w:tc>
          <w:tcPr>
            <w:tcW w:w="0" w:type="auto"/>
            <w:noWrap/>
            <w:hideMark/>
          </w:tcPr>
          <w:p w:rsidR="00707212" w:rsidRPr="006F2395" w:rsidRDefault="003357A9" w:rsidP="003E40E9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27,556</w:t>
            </w:r>
          </w:p>
        </w:tc>
      </w:tr>
    </w:tbl>
    <w:p w:rsidR="006F2395" w:rsidRDefault="006F2395" w:rsidP="00186A74">
      <w:pPr>
        <w:pStyle w:val="Heading1"/>
        <w:rPr>
          <w:szCs w:val="24"/>
        </w:rPr>
      </w:pPr>
    </w:p>
    <w:p w:rsidR="00707212" w:rsidRPr="006F2395" w:rsidRDefault="00707212" w:rsidP="00186A74">
      <w:pPr>
        <w:pStyle w:val="Heading1"/>
        <w:rPr>
          <w:szCs w:val="24"/>
        </w:rPr>
      </w:pPr>
      <w:r w:rsidRPr="006F2395">
        <w:rPr>
          <w:szCs w:val="24"/>
        </w:rPr>
        <w:t>Assets and Liabilities</w:t>
      </w:r>
    </w:p>
    <w:p w:rsidR="00186A74" w:rsidRPr="006F2395" w:rsidRDefault="00186A74" w:rsidP="00186A74">
      <w:pPr>
        <w:spacing w:line="240" w:lineRule="auto"/>
        <w:rPr>
          <w:rFonts w:cs="Times New Roman"/>
        </w:rPr>
      </w:pPr>
    </w:p>
    <w:p w:rsidR="00592FB8" w:rsidRPr="006F2395" w:rsidRDefault="00592FB8" w:rsidP="00592FB8">
      <w:pPr>
        <w:spacing w:line="276" w:lineRule="auto"/>
        <w:rPr>
          <w:rFonts w:cs="Times New Roman"/>
        </w:rPr>
      </w:pPr>
      <w:r w:rsidRPr="006F2395">
        <w:rPr>
          <w:rFonts w:cs="Times New Roman"/>
        </w:rPr>
        <w:t xml:space="preserve">Debtors reported over $105 billion in liabilities nationwide; nearly $9.9 billion in the Fourth Circuit; and over $955 million in South Carolina. Debtors reported over $79.6 billion in assets nationwide; over $7 billion in the Fourth Circuit; and over $683.5 million in South Carolina. </w:t>
      </w:r>
      <w:r w:rsidRPr="006F2395">
        <w:rPr>
          <w:rFonts w:cs="Times New Roman"/>
          <w:i/>
        </w:rPr>
        <w:t>See table below.</w:t>
      </w:r>
    </w:p>
    <w:p w:rsidR="00592FB8" w:rsidRPr="006F2395" w:rsidRDefault="00592FB8" w:rsidP="00592FB8">
      <w:pPr>
        <w:spacing w:line="276" w:lineRule="auto"/>
        <w:rPr>
          <w:rFonts w:cs="Times New Roman"/>
        </w:rPr>
      </w:pPr>
    </w:p>
    <w:p w:rsidR="00592FB8" w:rsidRPr="006F2395" w:rsidRDefault="00592FB8" w:rsidP="00592FB8">
      <w:pPr>
        <w:spacing w:line="276" w:lineRule="auto"/>
        <w:rPr>
          <w:rFonts w:cs="Times New Roman"/>
        </w:rPr>
      </w:pPr>
      <w:r w:rsidRPr="006F2395">
        <w:rPr>
          <w:rFonts w:cs="Times New Roman"/>
        </w:rPr>
        <w:t>This table shows assets and liabilities reported by individual debtors in cases with primarily consumer debts commenced during the 12-month period ending December 31, 2017.</w:t>
      </w:r>
    </w:p>
    <w:p w:rsidR="00DF2CD2" w:rsidRPr="006F2395" w:rsidRDefault="00DF2CD2" w:rsidP="00DF2CD2">
      <w:pPr>
        <w:spacing w:line="276" w:lineRule="auto"/>
        <w:ind w:firstLine="0"/>
        <w:rPr>
          <w:rFonts w:cs="Times New Roman"/>
        </w:rPr>
      </w:pPr>
    </w:p>
    <w:tbl>
      <w:tblPr>
        <w:tblStyle w:val="TableGrid"/>
        <w:tblW w:w="7165" w:type="dxa"/>
        <w:jc w:val="center"/>
        <w:tblLook w:val="04A0" w:firstRow="1" w:lastRow="0" w:firstColumn="1" w:lastColumn="0" w:noHBand="0" w:noVBand="1"/>
      </w:tblPr>
      <w:tblGrid>
        <w:gridCol w:w="1255"/>
        <w:gridCol w:w="2880"/>
        <w:gridCol w:w="3030"/>
      </w:tblGrid>
      <w:tr w:rsidR="00DF2CD2" w:rsidRPr="006F2395" w:rsidTr="006F2395">
        <w:trPr>
          <w:trHeight w:val="432"/>
          <w:jc w:val="center"/>
        </w:trPr>
        <w:tc>
          <w:tcPr>
            <w:tcW w:w="1255" w:type="dxa"/>
            <w:noWrap/>
            <w:hideMark/>
          </w:tcPr>
          <w:p w:rsidR="00DF2CD2" w:rsidRPr="006F2395" w:rsidRDefault="00DF2CD2" w:rsidP="00592FB8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880" w:type="dxa"/>
            <w:noWrap/>
            <w:hideMark/>
          </w:tcPr>
          <w:p w:rsidR="00DF2CD2" w:rsidRPr="006F2395" w:rsidRDefault="00DF2CD2" w:rsidP="00592FB8">
            <w:pPr>
              <w:spacing w:line="276" w:lineRule="auto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Assets</w:t>
            </w:r>
          </w:p>
        </w:tc>
        <w:tc>
          <w:tcPr>
            <w:tcW w:w="3030" w:type="dxa"/>
            <w:noWrap/>
            <w:hideMark/>
          </w:tcPr>
          <w:p w:rsidR="00DF2CD2" w:rsidRPr="006F2395" w:rsidRDefault="00DF2CD2" w:rsidP="00592FB8">
            <w:pPr>
              <w:spacing w:line="276" w:lineRule="auto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Liabilities</w:t>
            </w:r>
          </w:p>
        </w:tc>
      </w:tr>
      <w:tr w:rsidR="00DF2CD2" w:rsidRPr="006F2395" w:rsidTr="006F2395">
        <w:trPr>
          <w:trHeight w:val="432"/>
          <w:jc w:val="center"/>
        </w:trPr>
        <w:tc>
          <w:tcPr>
            <w:tcW w:w="1255" w:type="dxa"/>
            <w:noWrap/>
            <w:hideMark/>
          </w:tcPr>
          <w:p w:rsidR="00DF2CD2" w:rsidRPr="006F2395" w:rsidRDefault="002849FB" w:rsidP="003E40E9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US</w:t>
            </w:r>
          </w:p>
        </w:tc>
        <w:tc>
          <w:tcPr>
            <w:tcW w:w="2880" w:type="dxa"/>
            <w:noWrap/>
            <w:hideMark/>
          </w:tcPr>
          <w:p w:rsidR="00DF2CD2" w:rsidRPr="006F2395" w:rsidRDefault="00DF2CD2" w:rsidP="005F26BE">
            <w:pPr>
              <w:spacing w:line="276" w:lineRule="auto"/>
              <w:ind w:firstLine="0"/>
              <w:jc w:val="left"/>
              <w:rPr>
                <w:rFonts w:cs="Times New Roman"/>
              </w:rPr>
            </w:pPr>
            <w:r w:rsidRPr="006F2395">
              <w:rPr>
                <w:rFonts w:cs="Times New Roman"/>
              </w:rPr>
              <w:t>$79,616,531,000.00</w:t>
            </w:r>
          </w:p>
        </w:tc>
        <w:tc>
          <w:tcPr>
            <w:tcW w:w="3030" w:type="dxa"/>
            <w:noWrap/>
            <w:hideMark/>
          </w:tcPr>
          <w:p w:rsidR="00DF2CD2" w:rsidRPr="006F2395" w:rsidRDefault="00DF2CD2" w:rsidP="005F26BE">
            <w:pPr>
              <w:spacing w:line="276" w:lineRule="auto"/>
              <w:ind w:firstLine="0"/>
              <w:jc w:val="left"/>
              <w:rPr>
                <w:rFonts w:cs="Times New Roman"/>
              </w:rPr>
            </w:pPr>
            <w:r w:rsidRPr="006F2395">
              <w:rPr>
                <w:rFonts w:cs="Times New Roman"/>
              </w:rPr>
              <w:t>$105,263,153,000.00</w:t>
            </w:r>
          </w:p>
        </w:tc>
      </w:tr>
      <w:tr w:rsidR="00DF2CD2" w:rsidRPr="006F2395" w:rsidTr="006F2395">
        <w:trPr>
          <w:trHeight w:val="432"/>
          <w:jc w:val="center"/>
        </w:trPr>
        <w:tc>
          <w:tcPr>
            <w:tcW w:w="1255" w:type="dxa"/>
            <w:noWrap/>
            <w:hideMark/>
          </w:tcPr>
          <w:p w:rsidR="00DF2CD2" w:rsidRPr="006F2395" w:rsidRDefault="00DF2CD2" w:rsidP="003E40E9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4th Cir.</w:t>
            </w:r>
          </w:p>
        </w:tc>
        <w:tc>
          <w:tcPr>
            <w:tcW w:w="2880" w:type="dxa"/>
            <w:noWrap/>
            <w:hideMark/>
          </w:tcPr>
          <w:p w:rsidR="00DF2CD2" w:rsidRPr="006F2395" w:rsidRDefault="00DF2CD2" w:rsidP="005F26BE">
            <w:pPr>
              <w:spacing w:line="276" w:lineRule="auto"/>
              <w:ind w:firstLine="0"/>
              <w:jc w:val="left"/>
              <w:rPr>
                <w:rFonts w:cs="Times New Roman"/>
              </w:rPr>
            </w:pPr>
            <w:r w:rsidRPr="006F2395">
              <w:rPr>
                <w:rFonts w:cs="Times New Roman"/>
              </w:rPr>
              <w:t>$7,096,662,000.00</w:t>
            </w:r>
          </w:p>
        </w:tc>
        <w:tc>
          <w:tcPr>
            <w:tcW w:w="3030" w:type="dxa"/>
            <w:noWrap/>
            <w:hideMark/>
          </w:tcPr>
          <w:p w:rsidR="00DF2CD2" w:rsidRPr="006F2395" w:rsidRDefault="00DF2CD2" w:rsidP="005F26BE">
            <w:pPr>
              <w:spacing w:line="276" w:lineRule="auto"/>
              <w:ind w:firstLine="0"/>
              <w:jc w:val="left"/>
              <w:rPr>
                <w:rFonts w:cs="Times New Roman"/>
              </w:rPr>
            </w:pPr>
            <w:r w:rsidRPr="006F2395">
              <w:rPr>
                <w:rFonts w:cs="Times New Roman"/>
              </w:rPr>
              <w:t>$9,886,869,000.00</w:t>
            </w:r>
          </w:p>
        </w:tc>
      </w:tr>
      <w:tr w:rsidR="00DF2CD2" w:rsidRPr="006F2395" w:rsidTr="006F2395">
        <w:trPr>
          <w:trHeight w:val="432"/>
          <w:jc w:val="center"/>
        </w:trPr>
        <w:tc>
          <w:tcPr>
            <w:tcW w:w="1255" w:type="dxa"/>
            <w:noWrap/>
            <w:hideMark/>
          </w:tcPr>
          <w:p w:rsidR="00DF2CD2" w:rsidRPr="006F2395" w:rsidRDefault="003E40E9" w:rsidP="003E40E9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S</w:t>
            </w:r>
            <w:r w:rsidR="00DF2CD2" w:rsidRPr="006F2395">
              <w:rPr>
                <w:rFonts w:cs="Times New Roman"/>
                <w:b/>
                <w:bCs/>
              </w:rPr>
              <w:t>C</w:t>
            </w:r>
          </w:p>
        </w:tc>
        <w:tc>
          <w:tcPr>
            <w:tcW w:w="2880" w:type="dxa"/>
            <w:noWrap/>
            <w:hideMark/>
          </w:tcPr>
          <w:p w:rsidR="00DF2CD2" w:rsidRPr="006F2395" w:rsidRDefault="00DF2CD2" w:rsidP="005F26BE">
            <w:pPr>
              <w:spacing w:line="276" w:lineRule="auto"/>
              <w:ind w:firstLine="0"/>
              <w:jc w:val="left"/>
              <w:rPr>
                <w:rFonts w:cs="Times New Roman"/>
              </w:rPr>
            </w:pPr>
            <w:r w:rsidRPr="006F2395">
              <w:rPr>
                <w:rFonts w:cs="Times New Roman"/>
              </w:rPr>
              <w:t>$683,596,000.00</w:t>
            </w:r>
          </w:p>
        </w:tc>
        <w:tc>
          <w:tcPr>
            <w:tcW w:w="3030" w:type="dxa"/>
            <w:noWrap/>
            <w:hideMark/>
          </w:tcPr>
          <w:p w:rsidR="00DF2CD2" w:rsidRPr="006F2395" w:rsidRDefault="00DF2CD2" w:rsidP="005F26BE">
            <w:pPr>
              <w:spacing w:line="276" w:lineRule="auto"/>
              <w:ind w:firstLine="0"/>
              <w:jc w:val="left"/>
              <w:rPr>
                <w:rFonts w:cs="Times New Roman"/>
              </w:rPr>
            </w:pPr>
            <w:r w:rsidRPr="006F2395">
              <w:rPr>
                <w:rFonts w:cs="Times New Roman"/>
              </w:rPr>
              <w:t>$955,359,000.00</w:t>
            </w:r>
          </w:p>
        </w:tc>
      </w:tr>
    </w:tbl>
    <w:p w:rsidR="00E60342" w:rsidRPr="006F2395" w:rsidRDefault="00E60342" w:rsidP="00D90D9A">
      <w:pPr>
        <w:spacing w:line="240" w:lineRule="auto"/>
        <w:ind w:firstLine="0"/>
        <w:rPr>
          <w:rFonts w:cs="Times New Roman"/>
        </w:rPr>
      </w:pPr>
    </w:p>
    <w:p w:rsidR="00E60342" w:rsidRPr="006F2395" w:rsidRDefault="00E60342" w:rsidP="00186A74">
      <w:pPr>
        <w:pStyle w:val="Heading1"/>
        <w:rPr>
          <w:szCs w:val="24"/>
        </w:rPr>
      </w:pPr>
      <w:r w:rsidRPr="006F2395">
        <w:rPr>
          <w:szCs w:val="24"/>
        </w:rPr>
        <w:t>Income and Expenses</w:t>
      </w:r>
    </w:p>
    <w:p w:rsidR="00186A74" w:rsidRPr="006F2395" w:rsidRDefault="00186A74" w:rsidP="00186A74">
      <w:pPr>
        <w:spacing w:line="240" w:lineRule="auto"/>
        <w:rPr>
          <w:rFonts w:cs="Times New Roman"/>
        </w:rPr>
      </w:pPr>
    </w:p>
    <w:p w:rsidR="00E60342" w:rsidRPr="006F2395" w:rsidRDefault="00E60342" w:rsidP="00186A74">
      <w:pPr>
        <w:spacing w:line="240" w:lineRule="auto"/>
        <w:rPr>
          <w:rFonts w:cs="Times New Roman"/>
        </w:rPr>
      </w:pPr>
      <w:r w:rsidRPr="006F2395">
        <w:rPr>
          <w:rFonts w:cs="Times New Roman"/>
        </w:rPr>
        <w:t>In South Carolina, the median</w:t>
      </w:r>
      <w:r w:rsidR="009C6852">
        <w:rPr>
          <w:rFonts w:cs="Times New Roman"/>
        </w:rPr>
        <w:t xml:space="preserve"> average monthly</w:t>
      </w:r>
      <w:r w:rsidRPr="006F2395">
        <w:rPr>
          <w:rFonts w:cs="Times New Roman"/>
        </w:rPr>
        <w:t xml:space="preserve"> income reported by individual debtors in chapter 7 cases was $2,407. In the Fourth Circuit, the median</w:t>
      </w:r>
      <w:r w:rsidR="00063F14">
        <w:rPr>
          <w:rFonts w:cs="Times New Roman"/>
        </w:rPr>
        <w:t xml:space="preserve"> average monthly</w:t>
      </w:r>
      <w:r w:rsidRPr="006F2395">
        <w:rPr>
          <w:rFonts w:cs="Times New Roman"/>
        </w:rPr>
        <w:t xml:space="preserve"> income was $2,582, and it was $2,488 nationwide. The median expenses reported by individual debtors in South Carolina chapter 7 cases was $2,574, compared with $2,890 in the Fourth Circuit and $2,659 nationwide. </w:t>
      </w:r>
    </w:p>
    <w:p w:rsidR="00186A74" w:rsidRPr="006F2395" w:rsidRDefault="00186A74" w:rsidP="00186A74">
      <w:pPr>
        <w:spacing w:line="240" w:lineRule="auto"/>
        <w:rPr>
          <w:rFonts w:cs="Times New Roman"/>
        </w:rPr>
      </w:pPr>
    </w:p>
    <w:p w:rsidR="00E60342" w:rsidRPr="006F2395" w:rsidRDefault="00D80942" w:rsidP="00186A74">
      <w:pPr>
        <w:spacing w:line="240" w:lineRule="auto"/>
        <w:rPr>
          <w:rFonts w:cs="Times New Roman"/>
        </w:rPr>
      </w:pPr>
      <w:r w:rsidRPr="006F2395">
        <w:rPr>
          <w:rFonts w:cs="Times New Roman"/>
        </w:rPr>
        <w:t xml:space="preserve">In South Carolina chapter 13 cases, the median </w:t>
      </w:r>
      <w:r w:rsidR="00063F14">
        <w:rPr>
          <w:rFonts w:cs="Times New Roman"/>
        </w:rPr>
        <w:t xml:space="preserve">average monthly </w:t>
      </w:r>
      <w:r w:rsidRPr="006F2395">
        <w:rPr>
          <w:rFonts w:cs="Times New Roman"/>
        </w:rPr>
        <w:t>income reported by individual debtors in</w:t>
      </w:r>
      <w:r w:rsidR="00E665F4">
        <w:rPr>
          <w:rFonts w:cs="Times New Roman"/>
        </w:rPr>
        <w:t xml:space="preserve"> 2017</w:t>
      </w:r>
      <w:r w:rsidRPr="006F2395">
        <w:rPr>
          <w:rFonts w:cs="Times New Roman"/>
        </w:rPr>
        <w:t xml:space="preserve"> was $3,288. In the Fourth Circuit, the median </w:t>
      </w:r>
      <w:r w:rsidR="00063F14">
        <w:rPr>
          <w:rFonts w:cs="Times New Roman"/>
        </w:rPr>
        <w:t xml:space="preserve">average monthly </w:t>
      </w:r>
      <w:r w:rsidRPr="006F2395">
        <w:rPr>
          <w:rFonts w:cs="Times New Roman"/>
        </w:rPr>
        <w:t>income was $3,579, and it was $3,287 nationwide. The median expenses reported by individual debtors in South Carolina chapter 13 cases was $2,450, compared with $2,947 in the Fourth Circuit and $2,616 nationwide.</w:t>
      </w:r>
    </w:p>
    <w:p w:rsidR="006F2395" w:rsidRPr="006F2395" w:rsidRDefault="006F2395" w:rsidP="006F2395">
      <w:pPr>
        <w:spacing w:line="240" w:lineRule="auto"/>
        <w:ind w:firstLine="0"/>
        <w:rPr>
          <w:rFonts w:cs="Times New Roman"/>
        </w:rPr>
      </w:pPr>
      <w:r w:rsidRPr="006F2395">
        <w:rPr>
          <w:rFonts w:cs="Times New Roman"/>
        </w:rPr>
        <w:fldChar w:fldCharType="begin"/>
      </w:r>
      <w:r w:rsidRPr="006F2395">
        <w:rPr>
          <w:rFonts w:cs="Times New Roman"/>
        </w:rPr>
        <w:instrText xml:space="preserve"> LINK </w:instrText>
      </w:r>
      <w:r w:rsidR="00E665F4">
        <w:rPr>
          <w:rFonts w:cs="Times New Roman"/>
        </w:rPr>
        <w:instrText xml:space="preserve">Excel.Sheet.12 "\\\\scbc.local\\dfs\\data\\departments\\Clerk and Chambers\\Duncan Chambers\\Z - Backup to Law Clerk's Computer\\Court Files\\Charles Buist\\Misc\\Case Filings Report\\2017 Case Filings Report.xlsx" "Income and Expenses!R25C1:R34C4" </w:instrText>
      </w:r>
      <w:r w:rsidRPr="006F2395">
        <w:rPr>
          <w:rFonts w:cs="Times New Roman"/>
        </w:rPr>
        <w:instrText xml:space="preserve">\a \f 5 \h  \* MERGEFORMAT </w:instrText>
      </w:r>
      <w:r w:rsidRPr="006F2395">
        <w:rPr>
          <w:rFonts w:cs="Times New Roman"/>
        </w:rPr>
        <w:fldChar w:fldCharType="separate"/>
      </w:r>
    </w:p>
    <w:tbl>
      <w:tblPr>
        <w:tblStyle w:val="TableGrid"/>
        <w:tblW w:w="6970" w:type="dxa"/>
        <w:jc w:val="center"/>
        <w:tblLook w:val="04A0" w:firstRow="1" w:lastRow="0" w:firstColumn="1" w:lastColumn="0" w:noHBand="0" w:noVBand="1"/>
      </w:tblPr>
      <w:tblGrid>
        <w:gridCol w:w="1539"/>
        <w:gridCol w:w="1974"/>
        <w:gridCol w:w="1539"/>
        <w:gridCol w:w="1918"/>
      </w:tblGrid>
      <w:tr w:rsidR="006F2395" w:rsidRPr="006F2395" w:rsidTr="006F2395">
        <w:trPr>
          <w:trHeight w:val="264"/>
          <w:jc w:val="center"/>
        </w:trPr>
        <w:tc>
          <w:tcPr>
            <w:tcW w:w="6970" w:type="dxa"/>
            <w:gridSpan w:val="4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Chapter 13</w:t>
            </w:r>
          </w:p>
        </w:tc>
      </w:tr>
      <w:tr w:rsidR="006F2395" w:rsidRPr="006F2395" w:rsidTr="006F2395">
        <w:trPr>
          <w:trHeight w:val="264"/>
          <w:jc w:val="center"/>
        </w:trPr>
        <w:tc>
          <w:tcPr>
            <w:tcW w:w="3513" w:type="dxa"/>
            <w:gridSpan w:val="2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Median Income</w:t>
            </w:r>
          </w:p>
        </w:tc>
        <w:tc>
          <w:tcPr>
            <w:tcW w:w="3457" w:type="dxa"/>
            <w:gridSpan w:val="2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Median Expenses</w:t>
            </w:r>
          </w:p>
        </w:tc>
      </w:tr>
      <w:tr w:rsidR="006F2395" w:rsidRPr="006F2395" w:rsidTr="006F2395">
        <w:trPr>
          <w:trHeight w:val="264"/>
          <w:jc w:val="center"/>
        </w:trPr>
        <w:tc>
          <w:tcPr>
            <w:tcW w:w="1539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SC</w:t>
            </w:r>
          </w:p>
        </w:tc>
        <w:tc>
          <w:tcPr>
            <w:tcW w:w="1974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</w:rPr>
            </w:pPr>
            <w:r w:rsidRPr="006F2395">
              <w:rPr>
                <w:rFonts w:cs="Times New Roman"/>
              </w:rPr>
              <w:t xml:space="preserve"> $     3,288.00 </w:t>
            </w:r>
          </w:p>
        </w:tc>
        <w:tc>
          <w:tcPr>
            <w:tcW w:w="1539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SC</w:t>
            </w:r>
          </w:p>
        </w:tc>
        <w:tc>
          <w:tcPr>
            <w:tcW w:w="1918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</w:rPr>
            </w:pPr>
            <w:r w:rsidRPr="006F2395">
              <w:rPr>
                <w:rFonts w:cs="Times New Roman"/>
              </w:rPr>
              <w:t xml:space="preserve"> $    2,450.00 </w:t>
            </w:r>
          </w:p>
        </w:tc>
      </w:tr>
      <w:tr w:rsidR="006F2395" w:rsidRPr="006F2395" w:rsidTr="006F2395">
        <w:trPr>
          <w:trHeight w:val="264"/>
          <w:jc w:val="center"/>
        </w:trPr>
        <w:tc>
          <w:tcPr>
            <w:tcW w:w="1539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4th Cir.</w:t>
            </w:r>
          </w:p>
        </w:tc>
        <w:tc>
          <w:tcPr>
            <w:tcW w:w="1974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</w:rPr>
            </w:pPr>
            <w:r w:rsidRPr="006F2395">
              <w:rPr>
                <w:rFonts w:cs="Times New Roman"/>
              </w:rPr>
              <w:t xml:space="preserve"> $     3,579.00 </w:t>
            </w:r>
          </w:p>
        </w:tc>
        <w:tc>
          <w:tcPr>
            <w:tcW w:w="1539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4th Cir.</w:t>
            </w:r>
          </w:p>
        </w:tc>
        <w:tc>
          <w:tcPr>
            <w:tcW w:w="1918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</w:rPr>
            </w:pPr>
            <w:r w:rsidRPr="006F2395">
              <w:rPr>
                <w:rFonts w:cs="Times New Roman"/>
              </w:rPr>
              <w:t xml:space="preserve"> $    2,947.00 </w:t>
            </w:r>
          </w:p>
        </w:tc>
      </w:tr>
      <w:tr w:rsidR="006F2395" w:rsidRPr="006F2395" w:rsidTr="006F2395">
        <w:trPr>
          <w:trHeight w:val="264"/>
          <w:jc w:val="center"/>
        </w:trPr>
        <w:tc>
          <w:tcPr>
            <w:tcW w:w="1539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National</w:t>
            </w:r>
          </w:p>
        </w:tc>
        <w:tc>
          <w:tcPr>
            <w:tcW w:w="1974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</w:rPr>
            </w:pPr>
            <w:r w:rsidRPr="006F2395">
              <w:rPr>
                <w:rFonts w:cs="Times New Roman"/>
              </w:rPr>
              <w:t xml:space="preserve"> $     3,287.00 </w:t>
            </w:r>
          </w:p>
        </w:tc>
        <w:tc>
          <w:tcPr>
            <w:tcW w:w="1539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National</w:t>
            </w:r>
          </w:p>
        </w:tc>
        <w:tc>
          <w:tcPr>
            <w:tcW w:w="1918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</w:rPr>
            </w:pPr>
            <w:r w:rsidRPr="006F2395">
              <w:rPr>
                <w:rFonts w:cs="Times New Roman"/>
              </w:rPr>
              <w:t xml:space="preserve"> $    2,616.00 </w:t>
            </w:r>
          </w:p>
        </w:tc>
      </w:tr>
      <w:tr w:rsidR="006F2395" w:rsidRPr="006F2395" w:rsidTr="006F2395">
        <w:trPr>
          <w:trHeight w:val="264"/>
          <w:jc w:val="center"/>
        </w:trPr>
        <w:tc>
          <w:tcPr>
            <w:tcW w:w="6970" w:type="dxa"/>
            <w:gridSpan w:val="4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Chapter 7</w:t>
            </w:r>
          </w:p>
        </w:tc>
      </w:tr>
      <w:tr w:rsidR="006F2395" w:rsidRPr="006F2395" w:rsidTr="006F2395">
        <w:trPr>
          <w:trHeight w:val="264"/>
          <w:jc w:val="center"/>
        </w:trPr>
        <w:tc>
          <w:tcPr>
            <w:tcW w:w="3513" w:type="dxa"/>
            <w:gridSpan w:val="2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Median Income</w:t>
            </w:r>
          </w:p>
        </w:tc>
        <w:tc>
          <w:tcPr>
            <w:tcW w:w="3457" w:type="dxa"/>
            <w:gridSpan w:val="2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Median Expenses</w:t>
            </w:r>
          </w:p>
        </w:tc>
      </w:tr>
      <w:tr w:rsidR="006F2395" w:rsidRPr="006F2395" w:rsidTr="006F2395">
        <w:trPr>
          <w:trHeight w:val="264"/>
          <w:jc w:val="center"/>
        </w:trPr>
        <w:tc>
          <w:tcPr>
            <w:tcW w:w="1539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SC</w:t>
            </w:r>
          </w:p>
        </w:tc>
        <w:tc>
          <w:tcPr>
            <w:tcW w:w="1974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</w:rPr>
            </w:pPr>
            <w:r w:rsidRPr="006F2395">
              <w:rPr>
                <w:rFonts w:cs="Times New Roman"/>
              </w:rPr>
              <w:t xml:space="preserve"> $     2,407.00 </w:t>
            </w:r>
          </w:p>
        </w:tc>
        <w:tc>
          <w:tcPr>
            <w:tcW w:w="1539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SC</w:t>
            </w:r>
          </w:p>
        </w:tc>
        <w:tc>
          <w:tcPr>
            <w:tcW w:w="1918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</w:rPr>
            </w:pPr>
            <w:r w:rsidRPr="006F2395">
              <w:rPr>
                <w:rFonts w:cs="Times New Roman"/>
              </w:rPr>
              <w:t xml:space="preserve"> $    2,574.00 </w:t>
            </w:r>
          </w:p>
        </w:tc>
      </w:tr>
      <w:tr w:rsidR="006F2395" w:rsidRPr="006F2395" w:rsidTr="006F2395">
        <w:trPr>
          <w:trHeight w:val="264"/>
          <w:jc w:val="center"/>
        </w:trPr>
        <w:tc>
          <w:tcPr>
            <w:tcW w:w="1539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4th Cir.</w:t>
            </w:r>
          </w:p>
        </w:tc>
        <w:tc>
          <w:tcPr>
            <w:tcW w:w="1974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</w:rPr>
            </w:pPr>
            <w:r w:rsidRPr="006F2395">
              <w:rPr>
                <w:rFonts w:cs="Times New Roman"/>
              </w:rPr>
              <w:t xml:space="preserve"> $     2,582.00 </w:t>
            </w:r>
          </w:p>
        </w:tc>
        <w:tc>
          <w:tcPr>
            <w:tcW w:w="1539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4th Cir.</w:t>
            </w:r>
          </w:p>
        </w:tc>
        <w:tc>
          <w:tcPr>
            <w:tcW w:w="1918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</w:rPr>
            </w:pPr>
            <w:r w:rsidRPr="006F2395">
              <w:rPr>
                <w:rFonts w:cs="Times New Roman"/>
              </w:rPr>
              <w:t xml:space="preserve"> $    2,890.00 </w:t>
            </w:r>
          </w:p>
        </w:tc>
      </w:tr>
      <w:tr w:rsidR="006F2395" w:rsidRPr="006F2395" w:rsidTr="006F2395">
        <w:trPr>
          <w:trHeight w:val="264"/>
          <w:jc w:val="center"/>
        </w:trPr>
        <w:tc>
          <w:tcPr>
            <w:tcW w:w="1539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National</w:t>
            </w:r>
          </w:p>
        </w:tc>
        <w:tc>
          <w:tcPr>
            <w:tcW w:w="1974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</w:rPr>
            </w:pPr>
            <w:r w:rsidRPr="006F2395">
              <w:rPr>
                <w:rFonts w:cs="Times New Roman"/>
              </w:rPr>
              <w:t xml:space="preserve"> $     2,488.00 </w:t>
            </w:r>
          </w:p>
        </w:tc>
        <w:tc>
          <w:tcPr>
            <w:tcW w:w="1539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National</w:t>
            </w:r>
          </w:p>
        </w:tc>
        <w:tc>
          <w:tcPr>
            <w:tcW w:w="1918" w:type="dxa"/>
            <w:noWrap/>
            <w:hideMark/>
          </w:tcPr>
          <w:p w:rsidR="006F2395" w:rsidRPr="006F2395" w:rsidRDefault="006F2395" w:rsidP="006F2395">
            <w:pPr>
              <w:spacing w:line="240" w:lineRule="auto"/>
              <w:ind w:firstLine="0"/>
              <w:rPr>
                <w:rFonts w:cs="Times New Roman"/>
              </w:rPr>
            </w:pPr>
            <w:r w:rsidRPr="006F2395">
              <w:rPr>
                <w:rFonts w:cs="Times New Roman"/>
              </w:rPr>
              <w:t xml:space="preserve"> $    2,659.00 </w:t>
            </w:r>
          </w:p>
        </w:tc>
      </w:tr>
    </w:tbl>
    <w:p w:rsidR="006F2395" w:rsidRPr="006F2395" w:rsidRDefault="006F2395" w:rsidP="006F2395">
      <w:pPr>
        <w:spacing w:line="240" w:lineRule="auto"/>
        <w:ind w:firstLine="0"/>
        <w:rPr>
          <w:rFonts w:cs="Times New Roman"/>
        </w:rPr>
      </w:pPr>
      <w:r w:rsidRPr="006F2395">
        <w:rPr>
          <w:rFonts w:cs="Times New Roman"/>
        </w:rPr>
        <w:fldChar w:fldCharType="end"/>
      </w:r>
    </w:p>
    <w:p w:rsidR="006F2395" w:rsidRPr="006F2395" w:rsidRDefault="006F2395" w:rsidP="00186A74">
      <w:pPr>
        <w:spacing w:line="240" w:lineRule="auto"/>
        <w:rPr>
          <w:rFonts w:cs="Times New Roman"/>
        </w:rPr>
      </w:pPr>
    </w:p>
    <w:p w:rsidR="006F2395" w:rsidRPr="006F2395" w:rsidRDefault="006F2395" w:rsidP="00186A74">
      <w:pPr>
        <w:spacing w:line="240" w:lineRule="auto"/>
        <w:rPr>
          <w:rFonts w:cs="Times New Roman"/>
        </w:rPr>
      </w:pPr>
    </w:p>
    <w:p w:rsidR="006E09DD" w:rsidRPr="006F2395" w:rsidRDefault="006E09DD" w:rsidP="00186A74">
      <w:pPr>
        <w:pStyle w:val="Heading1"/>
        <w:rPr>
          <w:szCs w:val="24"/>
        </w:rPr>
      </w:pPr>
      <w:r w:rsidRPr="006F2395">
        <w:rPr>
          <w:szCs w:val="24"/>
        </w:rPr>
        <w:t>Cases Close</w:t>
      </w:r>
      <w:r w:rsidR="001F1E08" w:rsidRPr="006F2395">
        <w:rPr>
          <w:szCs w:val="24"/>
        </w:rPr>
        <w:t>d</w:t>
      </w:r>
      <w:r w:rsidRPr="006F2395">
        <w:rPr>
          <w:szCs w:val="24"/>
        </w:rPr>
        <w:t xml:space="preserve"> by Dismissal or Plan Completion</w:t>
      </w:r>
    </w:p>
    <w:p w:rsidR="00186A74" w:rsidRPr="006F2395" w:rsidRDefault="00186A74" w:rsidP="00186A74">
      <w:pPr>
        <w:spacing w:line="240" w:lineRule="auto"/>
        <w:rPr>
          <w:rFonts w:cs="Times New Roman"/>
        </w:rPr>
      </w:pPr>
    </w:p>
    <w:p w:rsidR="00592FB8" w:rsidRPr="006F2395" w:rsidRDefault="006E09DD" w:rsidP="00411133">
      <w:pPr>
        <w:spacing w:line="240" w:lineRule="auto"/>
        <w:ind w:firstLine="0"/>
        <w:rPr>
          <w:rFonts w:cs="Times New Roman"/>
        </w:rPr>
      </w:pPr>
      <w:r w:rsidRPr="006F2395">
        <w:rPr>
          <w:rFonts w:cs="Times New Roman"/>
        </w:rPr>
        <w:tab/>
      </w:r>
      <w:r w:rsidR="00411133" w:rsidRPr="006F2395">
        <w:rPr>
          <w:rFonts w:cs="Times New Roman"/>
        </w:rPr>
        <w:t>In 2017</w:t>
      </w:r>
      <w:r w:rsidRPr="006F2395">
        <w:rPr>
          <w:rFonts w:cs="Times New Roman"/>
        </w:rPr>
        <w:t>, a total of 318,974 chapter 13 individual debtor cases with primarily consumer deb</w:t>
      </w:r>
      <w:r w:rsidR="00E665F4">
        <w:rPr>
          <w:rFonts w:cs="Times New Roman"/>
        </w:rPr>
        <w:t>t</w:t>
      </w:r>
      <w:r w:rsidRPr="006F2395">
        <w:rPr>
          <w:rFonts w:cs="Times New Roman"/>
        </w:rPr>
        <w:t>s were closed</w:t>
      </w:r>
      <w:r w:rsidR="00411133" w:rsidRPr="006F2395">
        <w:rPr>
          <w:rFonts w:cs="Times New Roman"/>
        </w:rPr>
        <w:t xml:space="preserve"> nationwide, compared with 27</w:t>
      </w:r>
      <w:r w:rsidR="001F1E08" w:rsidRPr="006F2395">
        <w:rPr>
          <w:rFonts w:cs="Times New Roman"/>
        </w:rPr>
        <w:t>,</w:t>
      </w:r>
      <w:r w:rsidR="00411133" w:rsidRPr="006F2395">
        <w:rPr>
          <w:rFonts w:cs="Times New Roman"/>
        </w:rPr>
        <w:t xml:space="preserve">331 in the Fourth Circuit. </w:t>
      </w:r>
      <w:r w:rsidR="00DF2CD2" w:rsidRPr="006F2395">
        <w:rPr>
          <w:rFonts w:cs="Times New Roman"/>
        </w:rPr>
        <w:fldChar w:fldCharType="begin"/>
      </w:r>
      <w:r w:rsidR="00DF2CD2" w:rsidRPr="006F2395">
        <w:rPr>
          <w:rFonts w:cs="Times New Roman"/>
        </w:rPr>
        <w:instrText xml:space="preserve"> LINK </w:instrText>
      </w:r>
      <w:r w:rsidR="00592FB8" w:rsidRPr="006F2395">
        <w:rPr>
          <w:rFonts w:cs="Times New Roman"/>
        </w:rPr>
        <w:instrText xml:space="preserve">Excel.Sheet.12 "\\\\scbc.local\\dfs\\data\\departments\\Clerk and Chambers\\Duncan Chambers\\Z - Backup to Law Clerk's Computer\\Court Files\\Charles Buist\\Misc\\2017 Case Filings Report.xlsx" "Assets and Liabilities!R14C1:R17C3" </w:instrText>
      </w:r>
      <w:r w:rsidR="00DF2CD2" w:rsidRPr="006F2395">
        <w:rPr>
          <w:rFonts w:cs="Times New Roman"/>
        </w:rPr>
        <w:instrText xml:space="preserve">\a \f 5 \h  \* MERGEFORMAT </w:instrText>
      </w:r>
      <w:r w:rsidR="00DF2CD2" w:rsidRPr="006F2395">
        <w:rPr>
          <w:rFonts w:cs="Times New Roman"/>
        </w:rPr>
        <w:fldChar w:fldCharType="separate"/>
      </w:r>
    </w:p>
    <w:p w:rsidR="00DF2CD2" w:rsidRPr="006F2395" w:rsidRDefault="00DF2CD2" w:rsidP="00411133">
      <w:pPr>
        <w:spacing w:line="240" w:lineRule="auto"/>
        <w:ind w:firstLine="0"/>
        <w:rPr>
          <w:rFonts w:cs="Times New Roman"/>
        </w:rPr>
      </w:pPr>
      <w:r w:rsidRPr="006F2395">
        <w:rPr>
          <w:rFonts w:cs="Times New Roman"/>
        </w:rPr>
        <w:fldChar w:fldCharType="end"/>
      </w:r>
    </w:p>
    <w:p w:rsidR="006E09DD" w:rsidRPr="006F2395" w:rsidRDefault="006E09DD" w:rsidP="00DF2CD2">
      <w:pPr>
        <w:spacing w:line="276" w:lineRule="auto"/>
        <w:ind w:firstLine="0"/>
        <w:rPr>
          <w:rFonts w:cs="Times New Roman"/>
        </w:rPr>
      </w:pPr>
      <w:r w:rsidRPr="006F2395">
        <w:rPr>
          <w:rFonts w:cs="Times New Roman"/>
        </w:rPr>
        <w:tab/>
        <w:t>The Clerk of Court in South Carolina closed 4,044 chapter 13 cases. Of these closings, 2</w:t>
      </w:r>
      <w:r w:rsidR="001F1E08" w:rsidRPr="006F2395">
        <w:rPr>
          <w:rFonts w:cs="Times New Roman"/>
        </w:rPr>
        <w:t>,</w:t>
      </w:r>
      <w:r w:rsidRPr="006F2395">
        <w:rPr>
          <w:rFonts w:cs="Times New Roman"/>
        </w:rPr>
        <w:t>040 were closed as a result of the debtor completing his or her plan, and 2</w:t>
      </w:r>
      <w:r w:rsidR="00063F14">
        <w:rPr>
          <w:rFonts w:cs="Times New Roman"/>
        </w:rPr>
        <w:t>,</w:t>
      </w:r>
      <w:r w:rsidRPr="006F2395">
        <w:rPr>
          <w:rFonts w:cs="Times New Roman"/>
        </w:rPr>
        <w:t xml:space="preserve">003 were closed as a result of dismissal. </w:t>
      </w:r>
      <w:r w:rsidR="00411133" w:rsidRPr="006F2395">
        <w:rPr>
          <w:rFonts w:cs="Times New Roman"/>
        </w:rPr>
        <w:t xml:space="preserve">Of the completed cases, </w:t>
      </w:r>
      <w:r w:rsidR="005F26BE">
        <w:rPr>
          <w:rFonts w:cs="Times New Roman"/>
        </w:rPr>
        <w:t>78.19</w:t>
      </w:r>
      <w:r w:rsidR="005B2E71" w:rsidRPr="006F2395">
        <w:rPr>
          <w:rFonts w:cs="Times New Roman"/>
        </w:rPr>
        <w:t>% were base</w:t>
      </w:r>
      <w:r w:rsidR="005F26BE">
        <w:rPr>
          <w:rFonts w:cs="Times New Roman"/>
        </w:rPr>
        <w:t>d on the original plan, and 18.68</w:t>
      </w:r>
      <w:r w:rsidR="005B2E71" w:rsidRPr="006F2395">
        <w:rPr>
          <w:rFonts w:cs="Times New Roman"/>
        </w:rPr>
        <w:t xml:space="preserve">% were modified once prior to plan completion. </w:t>
      </w:r>
      <w:r w:rsidRPr="006F2395">
        <w:rPr>
          <w:rFonts w:cs="Times New Roman"/>
        </w:rPr>
        <w:t>Of the dismissals, 1</w:t>
      </w:r>
      <w:r w:rsidR="001F1E08" w:rsidRPr="006F2395">
        <w:rPr>
          <w:rFonts w:cs="Times New Roman"/>
        </w:rPr>
        <w:t>,</w:t>
      </w:r>
      <w:r w:rsidRPr="006F2395">
        <w:rPr>
          <w:rFonts w:cs="Times New Roman"/>
        </w:rPr>
        <w:t>367 were dismissed for</w:t>
      </w:r>
      <w:r w:rsidR="005B2E71" w:rsidRPr="006F2395">
        <w:rPr>
          <w:rFonts w:cs="Times New Roman"/>
        </w:rPr>
        <w:t xml:space="preserve"> failure to </w:t>
      </w:r>
      <w:r w:rsidR="005F26BE">
        <w:rPr>
          <w:rFonts w:cs="Times New Roman"/>
        </w:rPr>
        <w:t>make plan payments, roughly 68.25</w:t>
      </w:r>
      <w:r w:rsidR="005B2E71" w:rsidRPr="006F2395">
        <w:rPr>
          <w:rFonts w:cs="Times New Roman"/>
        </w:rPr>
        <w:t xml:space="preserve">% of the total dismissals. </w:t>
      </w:r>
    </w:p>
    <w:p w:rsidR="006E09DD" w:rsidRPr="006F2395" w:rsidRDefault="006E09DD" w:rsidP="00DF2CD2">
      <w:pPr>
        <w:spacing w:line="276" w:lineRule="auto"/>
        <w:ind w:firstLine="0"/>
        <w:rPr>
          <w:rFonts w:cs="Times New Roman"/>
        </w:rPr>
      </w:pPr>
    </w:p>
    <w:p w:rsidR="00DF2CD2" w:rsidRDefault="006E09DD" w:rsidP="007B677C">
      <w:pPr>
        <w:spacing w:line="276" w:lineRule="auto"/>
        <w:ind w:firstLine="0"/>
        <w:rPr>
          <w:rFonts w:cs="Times New Roman"/>
        </w:rPr>
      </w:pPr>
      <w:r w:rsidRPr="006F2395">
        <w:rPr>
          <w:rFonts w:cs="Times New Roman"/>
        </w:rPr>
        <w:tab/>
        <w:t xml:space="preserve">In 2017, South Carolina’s plan completion rate was </w:t>
      </w:r>
      <w:r w:rsidR="00411133" w:rsidRPr="006F2395">
        <w:rPr>
          <w:rFonts w:cs="Times New Roman"/>
        </w:rPr>
        <w:t>50.</w:t>
      </w:r>
      <w:r w:rsidR="005F26BE">
        <w:rPr>
          <w:rFonts w:cs="Times New Roman"/>
        </w:rPr>
        <w:t>4</w:t>
      </w:r>
      <w:r w:rsidR="00411133" w:rsidRPr="006F2395">
        <w:rPr>
          <w:rFonts w:cs="Times New Roman"/>
        </w:rPr>
        <w:t>5%, compared w</w:t>
      </w:r>
      <w:r w:rsidR="005F26BE">
        <w:rPr>
          <w:rFonts w:cs="Times New Roman"/>
        </w:rPr>
        <w:t>ith 50.88</w:t>
      </w:r>
      <w:r w:rsidR="00E60342" w:rsidRPr="006F2395">
        <w:rPr>
          <w:rFonts w:cs="Times New Roman"/>
        </w:rPr>
        <w:t>% in the Fourth Circuit</w:t>
      </w:r>
      <w:r w:rsidR="005F26BE">
        <w:rPr>
          <w:rFonts w:cs="Times New Roman"/>
        </w:rPr>
        <w:t xml:space="preserve"> and 48.38</w:t>
      </w:r>
      <w:r w:rsidR="00411133" w:rsidRPr="006F2395">
        <w:rPr>
          <w:rFonts w:cs="Times New Roman"/>
        </w:rPr>
        <w:t>% nationwide.</w:t>
      </w:r>
      <w:r w:rsidR="005B2E71" w:rsidRPr="006F2395">
        <w:rPr>
          <w:rFonts w:cs="Times New Roman"/>
        </w:rPr>
        <w:t xml:space="preserve"> Of the total number of cases filed in South Carolina (4</w:t>
      </w:r>
      <w:r w:rsidR="001F1E08" w:rsidRPr="006F2395">
        <w:rPr>
          <w:rFonts w:cs="Times New Roman"/>
        </w:rPr>
        <w:t>,</w:t>
      </w:r>
      <w:r w:rsidR="005B2E71" w:rsidRPr="006F2395">
        <w:rPr>
          <w:rFonts w:cs="Times New Roman"/>
        </w:rPr>
        <w:t xml:space="preserve">044), 205 were dismissed within 6 months of the filing date of the current case. </w:t>
      </w:r>
      <w:r w:rsidR="00186A74" w:rsidRPr="006F2395">
        <w:rPr>
          <w:rFonts w:cs="Times New Roman"/>
          <w:i/>
        </w:rPr>
        <w:t>See table below.</w:t>
      </w:r>
    </w:p>
    <w:p w:rsidR="007B677C" w:rsidRPr="007B677C" w:rsidRDefault="007B677C" w:rsidP="007B677C">
      <w:pPr>
        <w:spacing w:line="276" w:lineRule="auto"/>
        <w:ind w:firstLine="0"/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7"/>
        <w:gridCol w:w="1278"/>
        <w:gridCol w:w="1278"/>
        <w:gridCol w:w="1536"/>
        <w:gridCol w:w="1278"/>
        <w:gridCol w:w="1287"/>
        <w:gridCol w:w="1416"/>
      </w:tblGrid>
      <w:tr w:rsidR="00411133" w:rsidRPr="006F2395" w:rsidTr="00411133">
        <w:trPr>
          <w:trHeight w:val="264"/>
        </w:trPr>
        <w:tc>
          <w:tcPr>
            <w:tcW w:w="1300" w:type="dxa"/>
            <w:hideMark/>
          </w:tcPr>
          <w:p w:rsidR="00411133" w:rsidRPr="006F2395" w:rsidRDefault="00411133" w:rsidP="003E40E9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00" w:type="dxa"/>
            <w:hideMark/>
          </w:tcPr>
          <w:p w:rsidR="00411133" w:rsidRPr="006F2395" w:rsidRDefault="00411133" w:rsidP="003E40E9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600" w:type="dxa"/>
            <w:gridSpan w:val="2"/>
            <w:hideMark/>
          </w:tcPr>
          <w:p w:rsidR="00411133" w:rsidRPr="006F2395" w:rsidRDefault="00411133" w:rsidP="003E40E9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Plans Completed</w:t>
            </w:r>
          </w:p>
        </w:tc>
        <w:tc>
          <w:tcPr>
            <w:tcW w:w="2600" w:type="dxa"/>
            <w:gridSpan w:val="2"/>
            <w:hideMark/>
          </w:tcPr>
          <w:p w:rsidR="00411133" w:rsidRPr="006F2395" w:rsidRDefault="00411133" w:rsidP="003E40E9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Cases Dismissed</w:t>
            </w:r>
          </w:p>
        </w:tc>
        <w:tc>
          <w:tcPr>
            <w:tcW w:w="1300" w:type="dxa"/>
            <w:hideMark/>
          </w:tcPr>
          <w:p w:rsidR="00411133" w:rsidRPr="006F2395" w:rsidRDefault="00411133" w:rsidP="003E40E9">
            <w:pPr>
              <w:spacing w:line="276" w:lineRule="auto"/>
              <w:ind w:firstLine="0"/>
              <w:jc w:val="center"/>
              <w:rPr>
                <w:rFonts w:cs="Times New Roman"/>
              </w:rPr>
            </w:pPr>
          </w:p>
        </w:tc>
      </w:tr>
      <w:tr w:rsidR="00411133" w:rsidRPr="006F2395" w:rsidTr="00411133">
        <w:trPr>
          <w:trHeight w:val="1056"/>
        </w:trPr>
        <w:tc>
          <w:tcPr>
            <w:tcW w:w="1300" w:type="dxa"/>
            <w:hideMark/>
          </w:tcPr>
          <w:p w:rsidR="00411133" w:rsidRPr="006F2395" w:rsidRDefault="00411133" w:rsidP="003E40E9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District</w:t>
            </w:r>
          </w:p>
        </w:tc>
        <w:tc>
          <w:tcPr>
            <w:tcW w:w="1300" w:type="dxa"/>
            <w:hideMark/>
          </w:tcPr>
          <w:p w:rsidR="00411133" w:rsidRPr="006F2395" w:rsidRDefault="00411133" w:rsidP="003E40E9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Total Cases Closed</w:t>
            </w:r>
          </w:p>
        </w:tc>
        <w:tc>
          <w:tcPr>
            <w:tcW w:w="1300" w:type="dxa"/>
            <w:hideMark/>
          </w:tcPr>
          <w:p w:rsidR="00411133" w:rsidRPr="006F2395" w:rsidRDefault="00411133" w:rsidP="003E40E9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Total</w:t>
            </w:r>
          </w:p>
        </w:tc>
        <w:tc>
          <w:tcPr>
            <w:tcW w:w="1300" w:type="dxa"/>
            <w:hideMark/>
          </w:tcPr>
          <w:p w:rsidR="00411133" w:rsidRPr="006F2395" w:rsidRDefault="00411133" w:rsidP="003E40E9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1 Modification Prior to Completion</w:t>
            </w:r>
          </w:p>
        </w:tc>
        <w:tc>
          <w:tcPr>
            <w:tcW w:w="1300" w:type="dxa"/>
            <w:hideMark/>
          </w:tcPr>
          <w:p w:rsidR="00411133" w:rsidRPr="006F2395" w:rsidRDefault="00411133" w:rsidP="003E40E9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Total</w:t>
            </w:r>
          </w:p>
        </w:tc>
        <w:tc>
          <w:tcPr>
            <w:tcW w:w="1300" w:type="dxa"/>
            <w:hideMark/>
          </w:tcPr>
          <w:p w:rsidR="00411133" w:rsidRPr="006F2395" w:rsidRDefault="00411133" w:rsidP="003E40E9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Lack of Payment</w:t>
            </w:r>
          </w:p>
        </w:tc>
        <w:tc>
          <w:tcPr>
            <w:tcW w:w="1300" w:type="dxa"/>
            <w:hideMark/>
          </w:tcPr>
          <w:p w:rsidR="00411133" w:rsidRPr="006F2395" w:rsidRDefault="00411133" w:rsidP="003E40E9">
            <w:pPr>
              <w:spacing w:line="276" w:lineRule="auto"/>
              <w:ind w:firstLine="0"/>
              <w:jc w:val="center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Plan Completion Rate</w:t>
            </w:r>
          </w:p>
        </w:tc>
      </w:tr>
      <w:tr w:rsidR="00411133" w:rsidRPr="006F2395" w:rsidTr="00411133">
        <w:trPr>
          <w:trHeight w:val="264"/>
        </w:trPr>
        <w:tc>
          <w:tcPr>
            <w:tcW w:w="1300" w:type="dxa"/>
            <w:hideMark/>
          </w:tcPr>
          <w:p w:rsidR="00411133" w:rsidRPr="006F2395" w:rsidRDefault="002849FB" w:rsidP="003E40E9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US</w:t>
            </w:r>
          </w:p>
        </w:tc>
        <w:tc>
          <w:tcPr>
            <w:tcW w:w="1300" w:type="dxa"/>
            <w:hideMark/>
          </w:tcPr>
          <w:p w:rsidR="00411133" w:rsidRPr="006F2395" w:rsidRDefault="00411133" w:rsidP="005F26BE">
            <w:pPr>
              <w:spacing w:line="276" w:lineRule="auto"/>
              <w:ind w:firstLine="0"/>
              <w:jc w:val="right"/>
              <w:rPr>
                <w:rFonts w:cs="Times New Roman"/>
              </w:rPr>
            </w:pPr>
            <w:r w:rsidRPr="006F2395">
              <w:rPr>
                <w:rFonts w:cs="Times New Roman"/>
              </w:rPr>
              <w:t>318</w:t>
            </w:r>
            <w:r w:rsidR="001F1E08" w:rsidRPr="006F2395">
              <w:rPr>
                <w:rFonts w:cs="Times New Roman"/>
              </w:rPr>
              <w:t>,</w:t>
            </w:r>
            <w:r w:rsidRPr="006F2395">
              <w:rPr>
                <w:rFonts w:cs="Times New Roman"/>
              </w:rPr>
              <w:t>974</w:t>
            </w:r>
          </w:p>
        </w:tc>
        <w:tc>
          <w:tcPr>
            <w:tcW w:w="1300" w:type="dxa"/>
            <w:hideMark/>
          </w:tcPr>
          <w:p w:rsidR="00411133" w:rsidRPr="006F2395" w:rsidRDefault="00411133" w:rsidP="005F26BE">
            <w:pPr>
              <w:spacing w:line="276" w:lineRule="auto"/>
              <w:ind w:firstLine="0"/>
              <w:jc w:val="right"/>
              <w:rPr>
                <w:rFonts w:cs="Times New Roman"/>
              </w:rPr>
            </w:pPr>
            <w:r w:rsidRPr="006F2395">
              <w:rPr>
                <w:rFonts w:cs="Times New Roman"/>
              </w:rPr>
              <w:t>154</w:t>
            </w:r>
            <w:r w:rsidR="001F1E08" w:rsidRPr="006F2395">
              <w:rPr>
                <w:rFonts w:cs="Times New Roman"/>
              </w:rPr>
              <w:t>,</w:t>
            </w:r>
            <w:r w:rsidRPr="006F2395">
              <w:rPr>
                <w:rFonts w:cs="Times New Roman"/>
              </w:rPr>
              <w:t>334</w:t>
            </w:r>
          </w:p>
        </w:tc>
        <w:tc>
          <w:tcPr>
            <w:tcW w:w="1300" w:type="dxa"/>
            <w:noWrap/>
            <w:hideMark/>
          </w:tcPr>
          <w:p w:rsidR="00411133" w:rsidRPr="006F2395" w:rsidRDefault="00411133" w:rsidP="005F26BE">
            <w:pPr>
              <w:spacing w:line="276" w:lineRule="auto"/>
              <w:ind w:firstLine="0"/>
              <w:jc w:val="right"/>
              <w:rPr>
                <w:rFonts w:cs="Times New Roman"/>
              </w:rPr>
            </w:pPr>
            <w:r w:rsidRPr="006F2395">
              <w:rPr>
                <w:rFonts w:cs="Times New Roman"/>
              </w:rPr>
              <w:t>22</w:t>
            </w:r>
            <w:r w:rsidR="001F1E08" w:rsidRPr="006F2395">
              <w:rPr>
                <w:rFonts w:cs="Times New Roman"/>
              </w:rPr>
              <w:t>,</w:t>
            </w:r>
            <w:r w:rsidRPr="006F2395">
              <w:rPr>
                <w:rFonts w:cs="Times New Roman"/>
              </w:rPr>
              <w:t>474</w:t>
            </w:r>
          </w:p>
        </w:tc>
        <w:tc>
          <w:tcPr>
            <w:tcW w:w="1300" w:type="dxa"/>
            <w:hideMark/>
          </w:tcPr>
          <w:p w:rsidR="00411133" w:rsidRPr="006F2395" w:rsidRDefault="00411133" w:rsidP="005F26BE">
            <w:pPr>
              <w:spacing w:line="276" w:lineRule="auto"/>
              <w:ind w:firstLine="0"/>
              <w:jc w:val="right"/>
              <w:rPr>
                <w:rFonts w:cs="Times New Roman"/>
              </w:rPr>
            </w:pPr>
            <w:r w:rsidRPr="006F2395">
              <w:rPr>
                <w:rFonts w:cs="Times New Roman"/>
              </w:rPr>
              <w:t>164</w:t>
            </w:r>
            <w:r w:rsidR="001F1E08" w:rsidRPr="006F2395">
              <w:rPr>
                <w:rFonts w:cs="Times New Roman"/>
              </w:rPr>
              <w:t>,</w:t>
            </w:r>
            <w:r w:rsidRPr="006F2395">
              <w:rPr>
                <w:rFonts w:cs="Times New Roman"/>
              </w:rPr>
              <w:t>417</w:t>
            </w:r>
          </w:p>
        </w:tc>
        <w:tc>
          <w:tcPr>
            <w:tcW w:w="1300" w:type="dxa"/>
            <w:hideMark/>
          </w:tcPr>
          <w:p w:rsidR="00411133" w:rsidRPr="006F2395" w:rsidRDefault="00411133" w:rsidP="005F26BE">
            <w:pPr>
              <w:spacing w:line="276" w:lineRule="auto"/>
              <w:ind w:firstLine="0"/>
              <w:jc w:val="right"/>
              <w:rPr>
                <w:rFonts w:cs="Times New Roman"/>
              </w:rPr>
            </w:pPr>
            <w:r w:rsidRPr="006F2395">
              <w:rPr>
                <w:rFonts w:cs="Times New Roman"/>
              </w:rPr>
              <w:t>83</w:t>
            </w:r>
            <w:r w:rsidR="001F1E08" w:rsidRPr="006F2395">
              <w:rPr>
                <w:rFonts w:cs="Times New Roman"/>
              </w:rPr>
              <w:t>,</w:t>
            </w:r>
            <w:r w:rsidRPr="006F2395">
              <w:rPr>
                <w:rFonts w:cs="Times New Roman"/>
              </w:rPr>
              <w:t>918</w:t>
            </w:r>
          </w:p>
        </w:tc>
        <w:tc>
          <w:tcPr>
            <w:tcW w:w="1300" w:type="dxa"/>
            <w:hideMark/>
          </w:tcPr>
          <w:p w:rsidR="00411133" w:rsidRPr="006F2395" w:rsidRDefault="00411133" w:rsidP="005F26BE">
            <w:pPr>
              <w:spacing w:line="276" w:lineRule="auto"/>
              <w:ind w:firstLine="0"/>
              <w:jc w:val="right"/>
              <w:rPr>
                <w:rFonts w:cs="Times New Roman"/>
              </w:rPr>
            </w:pPr>
            <w:r w:rsidRPr="006F2395">
              <w:rPr>
                <w:rFonts w:cs="Times New Roman"/>
              </w:rPr>
              <w:t>48.38%</w:t>
            </w:r>
          </w:p>
        </w:tc>
      </w:tr>
      <w:tr w:rsidR="00411133" w:rsidRPr="006F2395" w:rsidTr="00411133">
        <w:trPr>
          <w:trHeight w:val="264"/>
        </w:trPr>
        <w:tc>
          <w:tcPr>
            <w:tcW w:w="1300" w:type="dxa"/>
            <w:hideMark/>
          </w:tcPr>
          <w:p w:rsidR="00411133" w:rsidRPr="006F2395" w:rsidRDefault="00411133" w:rsidP="003E40E9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4th Cir.</w:t>
            </w:r>
          </w:p>
        </w:tc>
        <w:tc>
          <w:tcPr>
            <w:tcW w:w="1300" w:type="dxa"/>
            <w:hideMark/>
          </w:tcPr>
          <w:p w:rsidR="00411133" w:rsidRPr="006F2395" w:rsidRDefault="00411133" w:rsidP="005F26BE">
            <w:pPr>
              <w:spacing w:line="276" w:lineRule="auto"/>
              <w:ind w:firstLine="0"/>
              <w:jc w:val="right"/>
              <w:rPr>
                <w:rFonts w:cs="Times New Roman"/>
              </w:rPr>
            </w:pPr>
            <w:r w:rsidRPr="006F2395">
              <w:rPr>
                <w:rFonts w:cs="Times New Roman"/>
              </w:rPr>
              <w:t>27</w:t>
            </w:r>
            <w:r w:rsidR="001F1E08" w:rsidRPr="006F2395">
              <w:rPr>
                <w:rFonts w:cs="Times New Roman"/>
              </w:rPr>
              <w:t>,</w:t>
            </w:r>
            <w:r w:rsidRPr="006F2395">
              <w:rPr>
                <w:rFonts w:cs="Times New Roman"/>
              </w:rPr>
              <w:t>331</w:t>
            </w:r>
          </w:p>
        </w:tc>
        <w:tc>
          <w:tcPr>
            <w:tcW w:w="1300" w:type="dxa"/>
            <w:hideMark/>
          </w:tcPr>
          <w:p w:rsidR="00411133" w:rsidRPr="006F2395" w:rsidRDefault="00411133" w:rsidP="005F26BE">
            <w:pPr>
              <w:spacing w:line="276" w:lineRule="auto"/>
              <w:ind w:firstLine="0"/>
              <w:jc w:val="right"/>
              <w:rPr>
                <w:rFonts w:cs="Times New Roman"/>
              </w:rPr>
            </w:pPr>
            <w:r w:rsidRPr="006F2395">
              <w:rPr>
                <w:rFonts w:cs="Times New Roman"/>
              </w:rPr>
              <w:t>13</w:t>
            </w:r>
            <w:r w:rsidR="001F1E08" w:rsidRPr="006F2395">
              <w:rPr>
                <w:rFonts w:cs="Times New Roman"/>
              </w:rPr>
              <w:t>,</w:t>
            </w:r>
            <w:r w:rsidRPr="006F2395">
              <w:rPr>
                <w:rFonts w:cs="Times New Roman"/>
              </w:rPr>
              <w:t>907</w:t>
            </w:r>
          </w:p>
        </w:tc>
        <w:tc>
          <w:tcPr>
            <w:tcW w:w="1300" w:type="dxa"/>
            <w:noWrap/>
            <w:hideMark/>
          </w:tcPr>
          <w:p w:rsidR="00411133" w:rsidRPr="006F2395" w:rsidRDefault="00411133" w:rsidP="005F26BE">
            <w:pPr>
              <w:spacing w:line="276" w:lineRule="auto"/>
              <w:ind w:firstLine="0"/>
              <w:jc w:val="right"/>
              <w:rPr>
                <w:rFonts w:cs="Times New Roman"/>
              </w:rPr>
            </w:pPr>
            <w:r w:rsidRPr="006F2395">
              <w:rPr>
                <w:rFonts w:cs="Times New Roman"/>
              </w:rPr>
              <w:t>1</w:t>
            </w:r>
            <w:r w:rsidR="001F1E08" w:rsidRPr="006F2395">
              <w:rPr>
                <w:rFonts w:cs="Times New Roman"/>
              </w:rPr>
              <w:t>,</w:t>
            </w:r>
            <w:r w:rsidRPr="006F2395">
              <w:rPr>
                <w:rFonts w:cs="Times New Roman"/>
              </w:rPr>
              <w:t>853</w:t>
            </w:r>
          </w:p>
        </w:tc>
        <w:tc>
          <w:tcPr>
            <w:tcW w:w="1300" w:type="dxa"/>
            <w:hideMark/>
          </w:tcPr>
          <w:p w:rsidR="00411133" w:rsidRPr="006F2395" w:rsidRDefault="00411133" w:rsidP="005F26BE">
            <w:pPr>
              <w:spacing w:line="276" w:lineRule="auto"/>
              <w:ind w:firstLine="0"/>
              <w:jc w:val="right"/>
              <w:rPr>
                <w:rFonts w:cs="Times New Roman"/>
              </w:rPr>
            </w:pPr>
            <w:r w:rsidRPr="006F2395">
              <w:rPr>
                <w:rFonts w:cs="Times New Roman"/>
              </w:rPr>
              <w:t>13</w:t>
            </w:r>
            <w:r w:rsidR="001F1E08" w:rsidRPr="006F2395">
              <w:rPr>
                <w:rFonts w:cs="Times New Roman"/>
              </w:rPr>
              <w:t>,</w:t>
            </w:r>
            <w:r w:rsidRPr="006F2395">
              <w:rPr>
                <w:rFonts w:cs="Times New Roman"/>
              </w:rPr>
              <w:t>408</w:t>
            </w:r>
          </w:p>
        </w:tc>
        <w:tc>
          <w:tcPr>
            <w:tcW w:w="1300" w:type="dxa"/>
            <w:hideMark/>
          </w:tcPr>
          <w:p w:rsidR="00411133" w:rsidRPr="006F2395" w:rsidRDefault="00411133" w:rsidP="005F26BE">
            <w:pPr>
              <w:spacing w:line="276" w:lineRule="auto"/>
              <w:ind w:firstLine="0"/>
              <w:jc w:val="right"/>
              <w:rPr>
                <w:rFonts w:cs="Times New Roman"/>
              </w:rPr>
            </w:pPr>
            <w:r w:rsidRPr="006F2395">
              <w:rPr>
                <w:rFonts w:cs="Times New Roman"/>
              </w:rPr>
              <w:t>6</w:t>
            </w:r>
            <w:r w:rsidR="001F1E08" w:rsidRPr="006F2395">
              <w:rPr>
                <w:rFonts w:cs="Times New Roman"/>
              </w:rPr>
              <w:t>,</w:t>
            </w:r>
            <w:r w:rsidRPr="006F2395">
              <w:rPr>
                <w:rFonts w:cs="Times New Roman"/>
              </w:rPr>
              <w:t>551</w:t>
            </w:r>
          </w:p>
        </w:tc>
        <w:tc>
          <w:tcPr>
            <w:tcW w:w="1300" w:type="dxa"/>
            <w:hideMark/>
          </w:tcPr>
          <w:p w:rsidR="00411133" w:rsidRPr="006F2395" w:rsidRDefault="00411133" w:rsidP="005F26BE">
            <w:pPr>
              <w:spacing w:line="276" w:lineRule="auto"/>
              <w:ind w:firstLine="0"/>
              <w:jc w:val="right"/>
              <w:rPr>
                <w:rFonts w:cs="Times New Roman"/>
              </w:rPr>
            </w:pPr>
            <w:r w:rsidRPr="006F2395">
              <w:rPr>
                <w:rFonts w:cs="Times New Roman"/>
              </w:rPr>
              <w:t>50.88%</w:t>
            </w:r>
          </w:p>
        </w:tc>
      </w:tr>
      <w:tr w:rsidR="00411133" w:rsidRPr="006F2395" w:rsidTr="00411133">
        <w:trPr>
          <w:trHeight w:val="264"/>
        </w:trPr>
        <w:tc>
          <w:tcPr>
            <w:tcW w:w="1300" w:type="dxa"/>
            <w:hideMark/>
          </w:tcPr>
          <w:p w:rsidR="00411133" w:rsidRPr="006F2395" w:rsidRDefault="00411133" w:rsidP="003E40E9">
            <w:pPr>
              <w:spacing w:line="276" w:lineRule="auto"/>
              <w:ind w:firstLine="0"/>
              <w:jc w:val="left"/>
              <w:rPr>
                <w:rFonts w:cs="Times New Roman"/>
                <w:b/>
                <w:bCs/>
              </w:rPr>
            </w:pPr>
            <w:r w:rsidRPr="006F2395">
              <w:rPr>
                <w:rFonts w:cs="Times New Roman"/>
                <w:b/>
                <w:bCs/>
              </w:rPr>
              <w:t>SC</w:t>
            </w:r>
          </w:p>
        </w:tc>
        <w:tc>
          <w:tcPr>
            <w:tcW w:w="1300" w:type="dxa"/>
            <w:hideMark/>
          </w:tcPr>
          <w:p w:rsidR="00411133" w:rsidRPr="006F2395" w:rsidRDefault="00411133" w:rsidP="005F26BE">
            <w:pPr>
              <w:spacing w:line="276" w:lineRule="auto"/>
              <w:ind w:firstLine="0"/>
              <w:jc w:val="right"/>
              <w:rPr>
                <w:rFonts w:cs="Times New Roman"/>
              </w:rPr>
            </w:pPr>
            <w:r w:rsidRPr="006F2395">
              <w:rPr>
                <w:rFonts w:cs="Times New Roman"/>
              </w:rPr>
              <w:t>4</w:t>
            </w:r>
            <w:r w:rsidR="001F1E08" w:rsidRPr="006F2395">
              <w:rPr>
                <w:rFonts w:cs="Times New Roman"/>
              </w:rPr>
              <w:t>,</w:t>
            </w:r>
            <w:r w:rsidRPr="006F2395">
              <w:rPr>
                <w:rFonts w:cs="Times New Roman"/>
              </w:rPr>
              <w:t>044</w:t>
            </w:r>
          </w:p>
        </w:tc>
        <w:tc>
          <w:tcPr>
            <w:tcW w:w="1300" w:type="dxa"/>
            <w:hideMark/>
          </w:tcPr>
          <w:p w:rsidR="00411133" w:rsidRPr="006F2395" w:rsidRDefault="00411133" w:rsidP="005F26BE">
            <w:pPr>
              <w:spacing w:line="276" w:lineRule="auto"/>
              <w:ind w:firstLine="0"/>
              <w:jc w:val="right"/>
              <w:rPr>
                <w:rFonts w:cs="Times New Roman"/>
              </w:rPr>
            </w:pPr>
            <w:r w:rsidRPr="006F2395">
              <w:rPr>
                <w:rFonts w:cs="Times New Roman"/>
              </w:rPr>
              <w:t>2</w:t>
            </w:r>
            <w:r w:rsidR="001F1E08" w:rsidRPr="006F2395">
              <w:rPr>
                <w:rFonts w:cs="Times New Roman"/>
              </w:rPr>
              <w:t>,</w:t>
            </w:r>
            <w:r w:rsidRPr="006F2395">
              <w:rPr>
                <w:rFonts w:cs="Times New Roman"/>
              </w:rPr>
              <w:t>040</w:t>
            </w:r>
          </w:p>
        </w:tc>
        <w:tc>
          <w:tcPr>
            <w:tcW w:w="1300" w:type="dxa"/>
            <w:noWrap/>
            <w:hideMark/>
          </w:tcPr>
          <w:p w:rsidR="00411133" w:rsidRPr="006F2395" w:rsidRDefault="00411133" w:rsidP="005F26BE">
            <w:pPr>
              <w:spacing w:line="276" w:lineRule="auto"/>
              <w:ind w:firstLine="0"/>
              <w:jc w:val="right"/>
              <w:rPr>
                <w:rFonts w:cs="Times New Roman"/>
              </w:rPr>
            </w:pPr>
            <w:r w:rsidRPr="006F2395">
              <w:rPr>
                <w:rFonts w:cs="Times New Roman"/>
              </w:rPr>
              <w:t>381</w:t>
            </w:r>
          </w:p>
        </w:tc>
        <w:tc>
          <w:tcPr>
            <w:tcW w:w="1300" w:type="dxa"/>
            <w:hideMark/>
          </w:tcPr>
          <w:p w:rsidR="00411133" w:rsidRPr="006F2395" w:rsidRDefault="00411133" w:rsidP="005F26BE">
            <w:pPr>
              <w:spacing w:line="276" w:lineRule="auto"/>
              <w:ind w:firstLine="0"/>
              <w:jc w:val="right"/>
              <w:rPr>
                <w:rFonts w:cs="Times New Roman"/>
              </w:rPr>
            </w:pPr>
            <w:r w:rsidRPr="006F2395">
              <w:rPr>
                <w:rFonts w:cs="Times New Roman"/>
              </w:rPr>
              <w:t>2</w:t>
            </w:r>
            <w:r w:rsidR="001F1E08" w:rsidRPr="006F2395">
              <w:rPr>
                <w:rFonts w:cs="Times New Roman"/>
              </w:rPr>
              <w:t>,</w:t>
            </w:r>
            <w:r w:rsidRPr="006F2395">
              <w:rPr>
                <w:rFonts w:cs="Times New Roman"/>
              </w:rPr>
              <w:t>003</w:t>
            </w:r>
          </w:p>
        </w:tc>
        <w:tc>
          <w:tcPr>
            <w:tcW w:w="1300" w:type="dxa"/>
            <w:hideMark/>
          </w:tcPr>
          <w:p w:rsidR="00411133" w:rsidRPr="006F2395" w:rsidRDefault="00411133" w:rsidP="005F26BE">
            <w:pPr>
              <w:spacing w:line="276" w:lineRule="auto"/>
              <w:ind w:firstLine="0"/>
              <w:jc w:val="right"/>
              <w:rPr>
                <w:rFonts w:cs="Times New Roman"/>
              </w:rPr>
            </w:pPr>
            <w:r w:rsidRPr="006F2395">
              <w:rPr>
                <w:rFonts w:cs="Times New Roman"/>
              </w:rPr>
              <w:t>1</w:t>
            </w:r>
            <w:r w:rsidR="001F1E08" w:rsidRPr="006F2395">
              <w:rPr>
                <w:rFonts w:cs="Times New Roman"/>
              </w:rPr>
              <w:t>,</w:t>
            </w:r>
            <w:r w:rsidRPr="006F2395">
              <w:rPr>
                <w:rFonts w:cs="Times New Roman"/>
              </w:rPr>
              <w:t>367</w:t>
            </w:r>
          </w:p>
        </w:tc>
        <w:tc>
          <w:tcPr>
            <w:tcW w:w="1300" w:type="dxa"/>
            <w:hideMark/>
          </w:tcPr>
          <w:p w:rsidR="00411133" w:rsidRPr="006F2395" w:rsidRDefault="00411133" w:rsidP="005F26BE">
            <w:pPr>
              <w:spacing w:line="276" w:lineRule="auto"/>
              <w:ind w:firstLine="0"/>
              <w:jc w:val="right"/>
              <w:rPr>
                <w:rFonts w:cs="Times New Roman"/>
              </w:rPr>
            </w:pPr>
            <w:r w:rsidRPr="006F2395">
              <w:rPr>
                <w:rFonts w:cs="Times New Roman"/>
              </w:rPr>
              <w:t>50.45%</w:t>
            </w:r>
          </w:p>
        </w:tc>
      </w:tr>
    </w:tbl>
    <w:p w:rsidR="00592FB8" w:rsidRPr="007B677C" w:rsidRDefault="00592FB8" w:rsidP="00592FB8">
      <w:pPr>
        <w:spacing w:line="276" w:lineRule="auto"/>
        <w:ind w:firstLine="0"/>
        <w:rPr>
          <w:rFonts w:cs="Times New Roman"/>
          <w:sz w:val="14"/>
        </w:rPr>
      </w:pPr>
    </w:p>
    <w:p w:rsidR="00592FB8" w:rsidRPr="006F2395" w:rsidRDefault="002849FB" w:rsidP="00186A74">
      <w:pPr>
        <w:pStyle w:val="Heading1"/>
        <w:rPr>
          <w:szCs w:val="24"/>
        </w:rPr>
      </w:pPr>
      <w:r w:rsidRPr="006F2395">
        <w:rPr>
          <w:szCs w:val="24"/>
        </w:rPr>
        <w:t>Time Intervals from Filing to Closing</w:t>
      </w:r>
    </w:p>
    <w:p w:rsidR="00186A74" w:rsidRPr="006F2395" w:rsidRDefault="00186A74" w:rsidP="00186A74">
      <w:pPr>
        <w:spacing w:line="240" w:lineRule="auto"/>
        <w:rPr>
          <w:rFonts w:cs="Times New Roman"/>
        </w:rPr>
      </w:pPr>
    </w:p>
    <w:p w:rsidR="002849FB" w:rsidRPr="006F2395" w:rsidRDefault="002849FB" w:rsidP="00186A74">
      <w:pPr>
        <w:spacing w:line="240" w:lineRule="auto"/>
        <w:ind w:firstLine="0"/>
        <w:rPr>
          <w:rFonts w:cs="Times New Roman"/>
        </w:rPr>
      </w:pPr>
      <w:r w:rsidRPr="006F2395">
        <w:rPr>
          <w:rFonts w:cs="Times New Roman"/>
        </w:rPr>
        <w:tab/>
      </w:r>
      <w:r w:rsidR="00E23CAB" w:rsidRPr="006F2395">
        <w:rPr>
          <w:rFonts w:cs="Times New Roman"/>
        </w:rPr>
        <w:t>In South Carolina, the average time from filing to closing in chapter 7 cases was 191 days, compared with</w:t>
      </w:r>
      <w:r w:rsidR="00D80942" w:rsidRPr="006F2395">
        <w:rPr>
          <w:rFonts w:cs="Times New Roman"/>
        </w:rPr>
        <w:t xml:space="preserve"> 189 days in the Fourth Circuit</w:t>
      </w:r>
      <w:r w:rsidR="00E23CAB" w:rsidRPr="006F2395">
        <w:rPr>
          <w:rFonts w:cs="Times New Roman"/>
        </w:rPr>
        <w:t xml:space="preserve"> and 199 days nationwide. The median time </w:t>
      </w:r>
      <w:r w:rsidR="004E03DA" w:rsidRPr="006F2395">
        <w:rPr>
          <w:rFonts w:cs="Times New Roman"/>
        </w:rPr>
        <w:t xml:space="preserve">in South Carolina </w:t>
      </w:r>
      <w:r w:rsidR="00E23CAB" w:rsidRPr="006F2395">
        <w:rPr>
          <w:rFonts w:cs="Times New Roman"/>
        </w:rPr>
        <w:t>was 103 days, compared with 110 days in the Fourth Circuit and 114 days nationwide.</w:t>
      </w:r>
    </w:p>
    <w:p w:rsidR="00186A74" w:rsidRPr="007B677C" w:rsidRDefault="00E23CAB" w:rsidP="00186A74">
      <w:pPr>
        <w:spacing w:line="240" w:lineRule="auto"/>
        <w:ind w:firstLine="0"/>
        <w:rPr>
          <w:rFonts w:cs="Times New Roman"/>
        </w:rPr>
      </w:pPr>
      <w:r w:rsidRPr="006F2395">
        <w:rPr>
          <w:rFonts w:cs="Times New Roman"/>
        </w:rPr>
        <w:tab/>
      </w:r>
    </w:p>
    <w:p w:rsidR="007B677C" w:rsidRDefault="00E23CAB" w:rsidP="007B677C">
      <w:pPr>
        <w:spacing w:line="240" w:lineRule="auto"/>
        <w:rPr>
          <w:rFonts w:cs="Times New Roman"/>
          <w:i/>
        </w:rPr>
      </w:pPr>
      <w:r w:rsidRPr="006F2395">
        <w:rPr>
          <w:rFonts w:cs="Times New Roman"/>
        </w:rPr>
        <w:t>For chapter 13 cases in South Carolina, the average time from filing to closing was 1</w:t>
      </w:r>
      <w:r w:rsidR="00E665F4">
        <w:rPr>
          <w:rFonts w:cs="Times New Roman"/>
        </w:rPr>
        <w:t>,</w:t>
      </w:r>
      <w:r w:rsidRPr="006F2395">
        <w:rPr>
          <w:rFonts w:cs="Times New Roman"/>
        </w:rPr>
        <w:t>166 days, compared with 1</w:t>
      </w:r>
      <w:r w:rsidR="001F1E08" w:rsidRPr="006F2395">
        <w:rPr>
          <w:rFonts w:cs="Times New Roman"/>
        </w:rPr>
        <w:t>,</w:t>
      </w:r>
      <w:r w:rsidRPr="006F2395">
        <w:rPr>
          <w:rFonts w:cs="Times New Roman"/>
        </w:rPr>
        <w:t>144 days in the Fourth Circuit and 1</w:t>
      </w:r>
      <w:r w:rsidR="001F1E08" w:rsidRPr="006F2395">
        <w:rPr>
          <w:rFonts w:cs="Times New Roman"/>
        </w:rPr>
        <w:t>,</w:t>
      </w:r>
      <w:r w:rsidRPr="006F2395">
        <w:rPr>
          <w:rFonts w:cs="Times New Roman"/>
        </w:rPr>
        <w:t>105 days nationwide. The median time</w:t>
      </w:r>
      <w:r w:rsidR="004E03DA" w:rsidRPr="006F2395">
        <w:rPr>
          <w:rFonts w:cs="Times New Roman"/>
        </w:rPr>
        <w:t xml:space="preserve"> in South Carolina</w:t>
      </w:r>
      <w:r w:rsidRPr="006F2395">
        <w:rPr>
          <w:rFonts w:cs="Times New Roman"/>
        </w:rPr>
        <w:t xml:space="preserve"> was 1</w:t>
      </w:r>
      <w:r w:rsidR="001F1E08" w:rsidRPr="006F2395">
        <w:rPr>
          <w:rFonts w:cs="Times New Roman"/>
        </w:rPr>
        <w:t>,</w:t>
      </w:r>
      <w:r w:rsidRPr="006F2395">
        <w:rPr>
          <w:rFonts w:cs="Times New Roman"/>
        </w:rPr>
        <w:t>244 days, compared with 1</w:t>
      </w:r>
      <w:r w:rsidR="001F1E08" w:rsidRPr="006F2395">
        <w:rPr>
          <w:rFonts w:cs="Times New Roman"/>
        </w:rPr>
        <w:t>,</w:t>
      </w:r>
      <w:r w:rsidRPr="006F2395">
        <w:rPr>
          <w:rFonts w:cs="Times New Roman"/>
        </w:rPr>
        <w:t>223 days in the Fourth Circuit and 1</w:t>
      </w:r>
      <w:r w:rsidR="001F1E08" w:rsidRPr="006F2395">
        <w:rPr>
          <w:rFonts w:cs="Times New Roman"/>
        </w:rPr>
        <w:t>,</w:t>
      </w:r>
      <w:r w:rsidRPr="006F2395">
        <w:rPr>
          <w:rFonts w:cs="Times New Roman"/>
        </w:rPr>
        <w:t>177 days nationwide.</w:t>
      </w:r>
      <w:r w:rsidR="007B677C">
        <w:rPr>
          <w:rFonts w:cs="Times New Roman"/>
        </w:rPr>
        <w:t xml:space="preserve"> </w:t>
      </w:r>
      <w:r w:rsidR="007B677C">
        <w:rPr>
          <w:rFonts w:cs="Times New Roman"/>
          <w:i/>
        </w:rPr>
        <w:t>See table below.</w:t>
      </w:r>
    </w:p>
    <w:p w:rsidR="00186A74" w:rsidRPr="006F2395" w:rsidRDefault="00E23CAB" w:rsidP="007B677C">
      <w:pPr>
        <w:spacing w:line="240" w:lineRule="auto"/>
        <w:ind w:firstLine="0"/>
        <w:rPr>
          <w:rFonts w:cs="Times New Roman"/>
        </w:rPr>
      </w:pPr>
      <w:r w:rsidRPr="006F2395">
        <w:rPr>
          <w:rFonts w:cs="Times New Roman"/>
        </w:rPr>
        <w:t xml:space="preserve"> </w:t>
      </w:r>
    </w:p>
    <w:tbl>
      <w:tblPr>
        <w:tblW w:w="6220" w:type="dxa"/>
        <w:jc w:val="center"/>
        <w:tblLook w:val="04A0" w:firstRow="1" w:lastRow="0" w:firstColumn="1" w:lastColumn="0" w:noHBand="0" w:noVBand="1"/>
      </w:tblPr>
      <w:tblGrid>
        <w:gridCol w:w="1020"/>
        <w:gridCol w:w="1300"/>
        <w:gridCol w:w="1300"/>
        <w:gridCol w:w="1300"/>
        <w:gridCol w:w="1300"/>
      </w:tblGrid>
      <w:tr w:rsidR="00E23CAB" w:rsidRPr="006F2395" w:rsidTr="006F2395">
        <w:trPr>
          <w:trHeight w:val="780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6F2395">
              <w:rPr>
                <w:rFonts w:eastAsia="Times New Roman" w:cs="Times New Roman"/>
                <w:b/>
                <w:bCs/>
              </w:rPr>
              <w:t>Median time from filing to closing in Chapter 7 cases closed in 2017</w:t>
            </w:r>
            <w:r w:rsidR="006F2395">
              <w:rPr>
                <w:rFonts w:eastAsia="Times New Roman" w:cs="Times New Roman"/>
                <w:b/>
                <w:bCs/>
              </w:rPr>
              <w:t xml:space="preserve"> (in days)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6F2395">
              <w:rPr>
                <w:rFonts w:eastAsia="Times New Roman" w:cs="Times New Roman"/>
                <w:b/>
                <w:bCs/>
              </w:rPr>
              <w:t>Median time from filing to closing in Chapter 13 cases closed in 2017</w:t>
            </w:r>
            <w:r w:rsidR="006F2395">
              <w:rPr>
                <w:rFonts w:eastAsia="Times New Roman" w:cs="Times New Roman"/>
                <w:b/>
                <w:bCs/>
              </w:rPr>
              <w:t xml:space="preserve"> (in days)</w:t>
            </w:r>
          </w:p>
        </w:tc>
      </w:tr>
      <w:tr w:rsidR="00E23CAB" w:rsidRPr="006F2395" w:rsidTr="006F2395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6F2395">
              <w:rPr>
                <w:rFonts w:eastAsia="Times New Roman" w:cs="Times New Roman"/>
                <w:b/>
                <w:bCs/>
              </w:rPr>
              <w:t>Average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6F2395">
              <w:rPr>
                <w:rFonts w:eastAsia="Times New Roman" w:cs="Times New Roman"/>
                <w:b/>
                <w:bCs/>
              </w:rPr>
              <w:t>Median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6F2395">
              <w:rPr>
                <w:rFonts w:eastAsia="Times New Roman" w:cs="Times New Roman"/>
                <w:b/>
                <w:bCs/>
              </w:rPr>
              <w:t>Average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</w:rPr>
            </w:pPr>
            <w:r w:rsidRPr="006F2395">
              <w:rPr>
                <w:rFonts w:eastAsia="Times New Roman" w:cs="Times New Roman"/>
                <w:b/>
                <w:bCs/>
              </w:rPr>
              <w:t>Median</w:t>
            </w:r>
          </w:p>
        </w:tc>
      </w:tr>
      <w:tr w:rsidR="00E23CAB" w:rsidRPr="006F2395" w:rsidTr="006F2395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6F2395">
              <w:rPr>
                <w:rFonts w:eastAsia="Times New Roman" w:cs="Times New Roman"/>
                <w:b/>
                <w:bCs/>
              </w:rPr>
              <w:t>US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6F2395">
              <w:rPr>
                <w:rFonts w:eastAsia="Times New Roman" w:cs="Times New Roman"/>
              </w:rPr>
              <w:t>199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6F2395">
              <w:rPr>
                <w:rFonts w:eastAsia="Times New Roman" w:cs="Times New Roman"/>
              </w:rPr>
              <w:t>114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6F2395">
              <w:rPr>
                <w:rFonts w:eastAsia="Times New Roman" w:cs="Times New Roman"/>
              </w:rPr>
              <w:t>1</w:t>
            </w:r>
            <w:r w:rsidR="001F1E08" w:rsidRPr="006F2395">
              <w:rPr>
                <w:rFonts w:eastAsia="Times New Roman" w:cs="Times New Roman"/>
              </w:rPr>
              <w:t>,</w:t>
            </w:r>
            <w:r w:rsidRPr="006F2395">
              <w:rPr>
                <w:rFonts w:eastAsia="Times New Roman" w:cs="Times New Roman"/>
              </w:rPr>
              <w:t>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6F2395">
              <w:rPr>
                <w:rFonts w:eastAsia="Times New Roman" w:cs="Times New Roman"/>
              </w:rPr>
              <w:t>1</w:t>
            </w:r>
            <w:r w:rsidR="001F1E08" w:rsidRPr="006F2395">
              <w:rPr>
                <w:rFonts w:eastAsia="Times New Roman" w:cs="Times New Roman"/>
              </w:rPr>
              <w:t>,</w:t>
            </w:r>
            <w:r w:rsidRPr="006F2395">
              <w:rPr>
                <w:rFonts w:eastAsia="Times New Roman" w:cs="Times New Roman"/>
              </w:rPr>
              <w:t>177</w:t>
            </w:r>
          </w:p>
        </w:tc>
      </w:tr>
      <w:tr w:rsidR="00E23CAB" w:rsidRPr="006F2395" w:rsidTr="006F2395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6F2395">
              <w:rPr>
                <w:rFonts w:eastAsia="Times New Roman" w:cs="Times New Roman"/>
                <w:b/>
                <w:bCs/>
              </w:rPr>
              <w:t>4th Cir.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6F2395">
              <w:rPr>
                <w:rFonts w:eastAsia="Times New Roman" w:cs="Times New Roman"/>
              </w:rPr>
              <w:t>189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6F2395">
              <w:rPr>
                <w:rFonts w:eastAsia="Times New Roman" w:cs="Times New Roman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6F2395">
              <w:rPr>
                <w:rFonts w:eastAsia="Times New Roman" w:cs="Times New Roman"/>
              </w:rPr>
              <w:t>1</w:t>
            </w:r>
            <w:r w:rsidR="001F1E08" w:rsidRPr="006F2395">
              <w:rPr>
                <w:rFonts w:eastAsia="Times New Roman" w:cs="Times New Roman"/>
              </w:rPr>
              <w:t>,</w:t>
            </w:r>
            <w:r w:rsidRPr="006F2395">
              <w:rPr>
                <w:rFonts w:eastAsia="Times New Roman" w:cs="Times New Roman"/>
              </w:rPr>
              <w:t>144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6F2395">
              <w:rPr>
                <w:rFonts w:eastAsia="Times New Roman" w:cs="Times New Roman"/>
              </w:rPr>
              <w:t>1</w:t>
            </w:r>
            <w:r w:rsidR="001F1E08" w:rsidRPr="006F2395">
              <w:rPr>
                <w:rFonts w:eastAsia="Times New Roman" w:cs="Times New Roman"/>
              </w:rPr>
              <w:t>,</w:t>
            </w:r>
            <w:r w:rsidRPr="006F2395">
              <w:rPr>
                <w:rFonts w:eastAsia="Times New Roman" w:cs="Times New Roman"/>
              </w:rPr>
              <w:t>223</w:t>
            </w:r>
          </w:p>
        </w:tc>
      </w:tr>
      <w:tr w:rsidR="00E23CAB" w:rsidRPr="006F2395" w:rsidTr="006F2395">
        <w:trPr>
          <w:trHeight w:val="264"/>
          <w:jc w:val="center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left"/>
              <w:rPr>
                <w:rFonts w:eastAsia="Times New Roman" w:cs="Times New Roman"/>
                <w:b/>
                <w:bCs/>
              </w:rPr>
            </w:pPr>
            <w:r w:rsidRPr="006F2395">
              <w:rPr>
                <w:rFonts w:eastAsia="Times New Roman" w:cs="Times New Roman"/>
                <w:b/>
                <w:bCs/>
              </w:rPr>
              <w:t>SC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6F2395">
              <w:rPr>
                <w:rFonts w:eastAsia="Times New Roman" w:cs="Times New Roman"/>
              </w:rPr>
              <w:t>191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6F2395">
              <w:rPr>
                <w:rFonts w:eastAsia="Times New Roman" w:cs="Times New Roman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6F2395">
              <w:rPr>
                <w:rFonts w:eastAsia="Times New Roman" w:cs="Times New Roman"/>
              </w:rPr>
              <w:t>1</w:t>
            </w:r>
            <w:r w:rsidR="001F1E08" w:rsidRPr="006F2395">
              <w:rPr>
                <w:rFonts w:eastAsia="Times New Roman" w:cs="Times New Roman"/>
              </w:rPr>
              <w:t>,</w:t>
            </w:r>
            <w:r w:rsidRPr="006F2395">
              <w:rPr>
                <w:rFonts w:eastAsia="Times New Roman" w:cs="Times New Roman"/>
              </w:rPr>
              <w:t>166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CAB" w:rsidRPr="006F2395" w:rsidRDefault="00E23CAB" w:rsidP="003E40E9">
            <w:pPr>
              <w:spacing w:line="240" w:lineRule="auto"/>
              <w:ind w:firstLine="0"/>
              <w:jc w:val="center"/>
              <w:rPr>
                <w:rFonts w:eastAsia="Times New Roman" w:cs="Times New Roman"/>
              </w:rPr>
            </w:pPr>
            <w:r w:rsidRPr="006F2395">
              <w:rPr>
                <w:rFonts w:eastAsia="Times New Roman" w:cs="Times New Roman"/>
              </w:rPr>
              <w:t>1</w:t>
            </w:r>
            <w:r w:rsidR="001F1E08" w:rsidRPr="006F2395">
              <w:rPr>
                <w:rFonts w:eastAsia="Times New Roman" w:cs="Times New Roman"/>
              </w:rPr>
              <w:t>,</w:t>
            </w:r>
            <w:r w:rsidRPr="006F2395">
              <w:rPr>
                <w:rFonts w:eastAsia="Times New Roman" w:cs="Times New Roman"/>
              </w:rPr>
              <w:t>244</w:t>
            </w:r>
          </w:p>
        </w:tc>
      </w:tr>
    </w:tbl>
    <w:p w:rsidR="000C5AA1" w:rsidRPr="006F2395" w:rsidRDefault="000C5AA1" w:rsidP="007B677C">
      <w:pPr>
        <w:ind w:firstLine="0"/>
        <w:rPr>
          <w:rFonts w:cs="Times New Roman"/>
        </w:rPr>
      </w:pPr>
      <w:bookmarkStart w:id="0" w:name="_GoBack"/>
      <w:bookmarkEnd w:id="0"/>
    </w:p>
    <w:sectPr w:rsidR="000C5AA1" w:rsidRPr="006F23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CAB" w:rsidRDefault="00E23CAB" w:rsidP="00E23CAB">
      <w:pPr>
        <w:spacing w:line="240" w:lineRule="auto"/>
      </w:pPr>
      <w:r>
        <w:separator/>
      </w:r>
    </w:p>
  </w:endnote>
  <w:endnote w:type="continuationSeparator" w:id="0">
    <w:p w:rsidR="00E23CAB" w:rsidRDefault="00E23CAB" w:rsidP="00E23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8193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3CAB" w:rsidRDefault="00E23C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5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CAB" w:rsidRDefault="00E23CAB" w:rsidP="00E23CAB">
      <w:pPr>
        <w:spacing w:line="240" w:lineRule="auto"/>
      </w:pPr>
      <w:r>
        <w:separator/>
      </w:r>
    </w:p>
  </w:footnote>
  <w:footnote w:type="continuationSeparator" w:id="0">
    <w:p w:rsidR="00E23CAB" w:rsidRDefault="00E23CAB" w:rsidP="00E23CAB">
      <w:pPr>
        <w:spacing w:line="240" w:lineRule="auto"/>
      </w:pPr>
      <w:r>
        <w:continuationSeparator/>
      </w:r>
    </w:p>
  </w:footnote>
  <w:footnote w:id="1">
    <w:p w:rsidR="00FE27BA" w:rsidRPr="00581AE0" w:rsidRDefault="00FE27BA" w:rsidP="00FE27BA">
      <w:pPr>
        <w:pStyle w:val="FootnoteText"/>
        <w:ind w:firstLine="0"/>
      </w:pPr>
      <w:r w:rsidRPr="00581AE0">
        <w:rPr>
          <w:rStyle w:val="FootnoteReference"/>
        </w:rPr>
        <w:footnoteRef/>
      </w:r>
      <w:r w:rsidRPr="00581AE0">
        <w:t xml:space="preserve"> During the 12-month period ending December 31.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9A4"/>
    <w:rsid w:val="00063F14"/>
    <w:rsid w:val="00081D1D"/>
    <w:rsid w:val="000B7388"/>
    <w:rsid w:val="000C5AA1"/>
    <w:rsid w:val="00186A74"/>
    <w:rsid w:val="001F1E08"/>
    <w:rsid w:val="00213526"/>
    <w:rsid w:val="00224DEC"/>
    <w:rsid w:val="002849FB"/>
    <w:rsid w:val="00330A0D"/>
    <w:rsid w:val="003357A9"/>
    <w:rsid w:val="003C1A45"/>
    <w:rsid w:val="003E40E9"/>
    <w:rsid w:val="003E7390"/>
    <w:rsid w:val="003F1218"/>
    <w:rsid w:val="00411133"/>
    <w:rsid w:val="00431E15"/>
    <w:rsid w:val="004A1A4A"/>
    <w:rsid w:val="004A4487"/>
    <w:rsid w:val="004E03DA"/>
    <w:rsid w:val="00581AE0"/>
    <w:rsid w:val="00592FB8"/>
    <w:rsid w:val="005B017B"/>
    <w:rsid w:val="005B2E71"/>
    <w:rsid w:val="005F26BE"/>
    <w:rsid w:val="006228F2"/>
    <w:rsid w:val="006E09DD"/>
    <w:rsid w:val="006F2395"/>
    <w:rsid w:val="00707212"/>
    <w:rsid w:val="007B677C"/>
    <w:rsid w:val="00871A1D"/>
    <w:rsid w:val="008B153F"/>
    <w:rsid w:val="009359A4"/>
    <w:rsid w:val="009C6852"/>
    <w:rsid w:val="00A678F3"/>
    <w:rsid w:val="00AF40A9"/>
    <w:rsid w:val="00C90A8F"/>
    <w:rsid w:val="00C968C2"/>
    <w:rsid w:val="00D80942"/>
    <w:rsid w:val="00D90D9A"/>
    <w:rsid w:val="00DA499C"/>
    <w:rsid w:val="00DE41B7"/>
    <w:rsid w:val="00DF2CD2"/>
    <w:rsid w:val="00E23CAB"/>
    <w:rsid w:val="00E60342"/>
    <w:rsid w:val="00E665F4"/>
    <w:rsid w:val="00F05EFF"/>
    <w:rsid w:val="00FA1160"/>
    <w:rsid w:val="00FE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D5211"/>
  <w15:chartTrackingRefBased/>
  <w15:docId w15:val="{128C2146-7E5B-4647-84E6-BCCF7EE6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8C2"/>
    <w:pPr>
      <w:spacing w:line="480" w:lineRule="auto"/>
      <w:ind w:firstLine="720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86A74"/>
    <w:pPr>
      <w:keepNext/>
      <w:keepLines/>
      <w:spacing w:line="240" w:lineRule="auto"/>
      <w:ind w:firstLine="0"/>
      <w:jc w:val="center"/>
      <w:outlineLvl w:val="0"/>
    </w:pPr>
    <w:rPr>
      <w:rFonts w:eastAsiaTheme="majorEastAsia" w:cs="Times New Roman"/>
      <w:b/>
      <w:caps/>
      <w:szCs w:val="32"/>
      <w:u w:val="thick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13526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13526"/>
    <w:pPr>
      <w:keepNext/>
      <w:keepLines/>
      <w:spacing w:before="40"/>
      <w:outlineLvl w:val="2"/>
    </w:pPr>
    <w:rPr>
      <w:rFonts w:eastAsiaTheme="majorEastAsia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8C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86A74"/>
    <w:rPr>
      <w:rFonts w:eastAsiaTheme="majorEastAsia" w:cs="Times New Roman"/>
      <w:b/>
      <w:caps/>
      <w:szCs w:val="32"/>
      <w:u w:val="thick"/>
    </w:rPr>
  </w:style>
  <w:style w:type="character" w:customStyle="1" w:styleId="Heading2Char">
    <w:name w:val="Heading 2 Char"/>
    <w:basedOn w:val="DefaultParagraphFont"/>
    <w:link w:val="Heading2"/>
    <w:uiPriority w:val="9"/>
    <w:rsid w:val="00213526"/>
    <w:rPr>
      <w:rFonts w:eastAsiaTheme="majorEastAs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3526"/>
    <w:rPr>
      <w:rFonts w:eastAsiaTheme="majorEastAsia" w:cstheme="majorBidi"/>
      <w:b/>
      <w:i/>
    </w:rPr>
  </w:style>
  <w:style w:type="table" w:styleId="TableGrid">
    <w:name w:val="Table Grid"/>
    <w:basedOn w:val="TableNormal"/>
    <w:uiPriority w:val="39"/>
    <w:rsid w:val="00DF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3C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CAB"/>
  </w:style>
  <w:style w:type="paragraph" w:styleId="Footer">
    <w:name w:val="footer"/>
    <w:basedOn w:val="Normal"/>
    <w:link w:val="FooterChar"/>
    <w:uiPriority w:val="99"/>
    <w:unhideWhenUsed/>
    <w:rsid w:val="00E23C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CAB"/>
  </w:style>
  <w:style w:type="paragraph" w:styleId="BalloonText">
    <w:name w:val="Balloon Text"/>
    <w:basedOn w:val="Normal"/>
    <w:link w:val="BalloonTextChar"/>
    <w:uiPriority w:val="99"/>
    <w:semiHidden/>
    <w:unhideWhenUsed/>
    <w:rsid w:val="001F1E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08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AE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A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1A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F0AE7-FD0D-4F66-B375-B0C50B95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Buist</dc:creator>
  <cp:keywords/>
  <dc:description/>
  <cp:lastModifiedBy>Dawn Hardesty</cp:lastModifiedBy>
  <cp:revision>26</cp:revision>
  <cp:lastPrinted>2018-08-29T14:48:00Z</cp:lastPrinted>
  <dcterms:created xsi:type="dcterms:W3CDTF">2018-08-28T13:25:00Z</dcterms:created>
  <dcterms:modified xsi:type="dcterms:W3CDTF">2018-09-05T15:09:00Z</dcterms:modified>
</cp:coreProperties>
</file>